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42BB13" w14:textId="44C0F1C7" w:rsidR="00195149" w:rsidRPr="00195149" w:rsidRDefault="009172EE" w:rsidP="00195149">
      <w:pPr>
        <w:jc w:val="center"/>
        <w:rPr>
          <w:rFonts w:ascii="Times New Roman" w:hAnsi="Times New Roman" w:cs="Times New Roman"/>
          <w:color w:val="FF0000"/>
          <w:sz w:val="27"/>
          <w:szCs w:val="27"/>
        </w:rPr>
      </w:pPr>
      <w:r>
        <w:rPr>
          <w:rFonts w:ascii="Times New Roman" w:hAnsi="Times New Roman" w:cs="Times New Roman"/>
          <w:color w:val="FF0000"/>
          <w:sz w:val="27"/>
          <w:szCs w:val="27"/>
        </w:rPr>
        <w:t>NOTE:</w:t>
      </w:r>
      <w:r w:rsidRPr="00195149">
        <w:rPr>
          <w:rFonts w:ascii="Times New Roman" w:hAnsi="Times New Roman" w:cs="Times New Roman"/>
          <w:color w:val="FF0000"/>
          <w:sz w:val="27"/>
          <w:szCs w:val="27"/>
        </w:rPr>
        <w:t xml:space="preserve"> Effective</w:t>
      </w:r>
      <w:r w:rsidR="00195149" w:rsidRPr="00195149">
        <w:rPr>
          <w:rFonts w:ascii="Times New Roman" w:hAnsi="Times New Roman" w:cs="Times New Roman"/>
          <w:color w:val="FF0000"/>
          <w:sz w:val="27"/>
          <w:szCs w:val="27"/>
        </w:rPr>
        <w:t xml:space="preserve"> January 1, 2023,</w:t>
      </w:r>
    </w:p>
    <w:p w14:paraId="4760DA5D" w14:textId="5EC47324" w:rsidR="00195149" w:rsidRDefault="00195149" w:rsidP="00195149">
      <w:pPr>
        <w:jc w:val="center"/>
        <w:rPr>
          <w:color w:val="4472C4"/>
        </w:rPr>
      </w:pPr>
      <w:r>
        <w:rPr>
          <w:rFonts w:ascii="Times New Roman" w:hAnsi="Times New Roman" w:cs="Times New Roman"/>
          <w:color w:val="4472C4"/>
          <w:sz w:val="27"/>
          <w:szCs w:val="27"/>
        </w:rPr>
        <w:t xml:space="preserve">National Grid will require all inverter-based systems to meet IEEE 1547-2018 and UL 1741 SB certification.  All inverter-based interconnection applications received on or after January 1, </w:t>
      </w:r>
      <w:r w:rsidR="000D45CF">
        <w:rPr>
          <w:rFonts w:ascii="Times New Roman" w:hAnsi="Times New Roman" w:cs="Times New Roman"/>
          <w:color w:val="4472C4"/>
          <w:sz w:val="27"/>
          <w:szCs w:val="27"/>
        </w:rPr>
        <w:t>2023,</w:t>
      </w:r>
      <w:r>
        <w:rPr>
          <w:rFonts w:ascii="Times New Roman" w:hAnsi="Times New Roman" w:cs="Times New Roman"/>
          <w:color w:val="4472C4"/>
          <w:sz w:val="27"/>
          <w:szCs w:val="27"/>
        </w:rPr>
        <w:t xml:space="preserve"> must show proof of compliance with these standards and settings in order to be considered a completed application.</w:t>
      </w:r>
    </w:p>
    <w:p w14:paraId="69A60703" w14:textId="77777777" w:rsidR="00195149" w:rsidRDefault="00195149" w:rsidP="00195149"/>
    <w:p w14:paraId="40E373A6" w14:textId="240931CF" w:rsidR="00195149" w:rsidRPr="00195149" w:rsidRDefault="00195149" w:rsidP="00195149">
      <w:pPr>
        <w:pStyle w:val="Heading3"/>
        <w:jc w:val="center"/>
        <w:rPr>
          <w:szCs w:val="22"/>
        </w:rPr>
      </w:pPr>
      <w:bookmarkStart w:id="0" w:name="_Toc117155154"/>
      <w:bookmarkStart w:id="1" w:name="_Toc117155581"/>
      <w:bookmarkStart w:id="2" w:name="_Toc117158879"/>
      <w:bookmarkStart w:id="3" w:name="_Toc117173111"/>
      <w:bookmarkStart w:id="4" w:name="_Toc117174426"/>
      <w:bookmarkStart w:id="5" w:name="_Toc117232857"/>
      <w:bookmarkStart w:id="6" w:name="_Toc119506977"/>
      <w:bookmarkStart w:id="7" w:name="_Toc119664091"/>
      <w:bookmarkStart w:id="8" w:name="_Toc119664598"/>
      <w:bookmarkStart w:id="9" w:name="_Toc120611259"/>
      <w:r w:rsidRPr="00195149">
        <w:rPr>
          <w:sz w:val="22"/>
          <w:szCs w:val="22"/>
        </w:rPr>
        <w:t>Utility Grade Relay and UL 1741 SB Certified Inverter Parallel Generation Default Voltage &amp; Frequency Set points</w:t>
      </w:r>
      <w:bookmarkEnd w:id="0"/>
      <w:bookmarkEnd w:id="1"/>
      <w:bookmarkEnd w:id="2"/>
      <w:bookmarkEnd w:id="3"/>
      <w:bookmarkEnd w:id="4"/>
      <w:bookmarkEnd w:id="5"/>
      <w:bookmarkEnd w:id="6"/>
      <w:bookmarkEnd w:id="7"/>
      <w:bookmarkEnd w:id="8"/>
      <w:bookmarkEnd w:id="9"/>
    </w:p>
    <w:tbl>
      <w:tblPr>
        <w:tblW w:w="69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48"/>
        <w:gridCol w:w="2880"/>
        <w:gridCol w:w="1620"/>
      </w:tblGrid>
      <w:tr w:rsidR="00195149" w:rsidRPr="00195149" w14:paraId="0D7E031D" w14:textId="77777777" w:rsidTr="00685531">
        <w:trPr>
          <w:trHeight w:val="395"/>
          <w:tblHeader/>
          <w:jc w:val="center"/>
        </w:trPr>
        <w:tc>
          <w:tcPr>
            <w:tcW w:w="2448" w:type="dxa"/>
            <w:tcBorders>
              <w:top w:val="single" w:sz="12" w:space="0" w:color="auto"/>
              <w:left w:val="single" w:sz="12" w:space="0" w:color="auto"/>
              <w:bottom w:val="double" w:sz="4" w:space="0" w:color="auto"/>
              <w:right w:val="single" w:sz="8" w:space="0" w:color="auto"/>
            </w:tcBorders>
            <w:shd w:val="clear" w:color="auto" w:fill="EDEDED" w:themeFill="accent3" w:themeFillTint="33"/>
            <w:vAlign w:val="center"/>
            <w:hideMark/>
          </w:tcPr>
          <w:p w14:paraId="70D88E2E" w14:textId="77777777" w:rsidR="00195149" w:rsidRPr="00195149" w:rsidRDefault="00195149" w:rsidP="00195149">
            <w:pPr>
              <w:jc w:val="center"/>
              <w:rPr>
                <w:b/>
                <w:sz w:val="20"/>
                <w:szCs w:val="20"/>
              </w:rPr>
            </w:pPr>
            <w:r w:rsidRPr="00195149">
              <w:rPr>
                <w:b/>
                <w:sz w:val="20"/>
                <w:szCs w:val="20"/>
              </w:rPr>
              <w:t>DEVICE</w:t>
            </w:r>
          </w:p>
        </w:tc>
        <w:tc>
          <w:tcPr>
            <w:tcW w:w="2880" w:type="dxa"/>
            <w:tcBorders>
              <w:top w:val="single" w:sz="12" w:space="0" w:color="auto"/>
              <w:left w:val="single" w:sz="8" w:space="0" w:color="auto"/>
              <w:bottom w:val="double" w:sz="4" w:space="0" w:color="auto"/>
              <w:right w:val="single" w:sz="8" w:space="0" w:color="auto"/>
            </w:tcBorders>
            <w:shd w:val="clear" w:color="auto" w:fill="EDEDED" w:themeFill="accent3" w:themeFillTint="33"/>
            <w:vAlign w:val="center"/>
            <w:hideMark/>
          </w:tcPr>
          <w:p w14:paraId="3ED3639C" w14:textId="77777777" w:rsidR="00195149" w:rsidRPr="00195149" w:rsidRDefault="00195149" w:rsidP="00195149">
            <w:pPr>
              <w:jc w:val="center"/>
              <w:rPr>
                <w:b/>
                <w:sz w:val="20"/>
                <w:szCs w:val="20"/>
              </w:rPr>
            </w:pPr>
            <w:r w:rsidRPr="00195149">
              <w:rPr>
                <w:b/>
                <w:sz w:val="20"/>
                <w:szCs w:val="20"/>
              </w:rPr>
              <w:t>PICKUP RANGE</w:t>
            </w:r>
          </w:p>
          <w:p w14:paraId="4EA13CE6" w14:textId="77777777" w:rsidR="00195149" w:rsidRPr="00195149" w:rsidRDefault="00195149" w:rsidP="00195149">
            <w:pPr>
              <w:jc w:val="center"/>
              <w:rPr>
                <w:b/>
                <w:sz w:val="20"/>
                <w:szCs w:val="20"/>
              </w:rPr>
            </w:pPr>
            <w:r w:rsidRPr="00195149">
              <w:rPr>
                <w:b/>
                <w:sz w:val="20"/>
                <w:szCs w:val="20"/>
              </w:rPr>
              <w:t>(Defaults set points in bold)</w:t>
            </w:r>
          </w:p>
        </w:tc>
        <w:tc>
          <w:tcPr>
            <w:tcW w:w="1620" w:type="dxa"/>
            <w:tcBorders>
              <w:top w:val="single" w:sz="12" w:space="0" w:color="auto"/>
              <w:left w:val="single" w:sz="8" w:space="0" w:color="auto"/>
              <w:bottom w:val="double" w:sz="4" w:space="0" w:color="auto"/>
              <w:right w:val="single" w:sz="12" w:space="0" w:color="auto"/>
            </w:tcBorders>
            <w:shd w:val="clear" w:color="auto" w:fill="EDEDED" w:themeFill="accent3" w:themeFillTint="33"/>
            <w:vAlign w:val="center"/>
            <w:hideMark/>
          </w:tcPr>
          <w:p w14:paraId="1AAA2C9B" w14:textId="77777777" w:rsidR="00195149" w:rsidRPr="00195149" w:rsidRDefault="00195149" w:rsidP="00195149">
            <w:pPr>
              <w:jc w:val="center"/>
              <w:rPr>
                <w:b/>
                <w:sz w:val="20"/>
                <w:szCs w:val="20"/>
              </w:rPr>
            </w:pPr>
            <w:r w:rsidRPr="00195149">
              <w:rPr>
                <w:b/>
                <w:sz w:val="20"/>
                <w:szCs w:val="20"/>
              </w:rPr>
              <w:t>DEFAULT CLEARING TIME (sec)</w:t>
            </w:r>
          </w:p>
        </w:tc>
      </w:tr>
      <w:tr w:rsidR="00195149" w:rsidRPr="00195149" w14:paraId="032C6585" w14:textId="77777777" w:rsidTr="001E2113">
        <w:trPr>
          <w:trHeight w:val="288"/>
          <w:jc w:val="center"/>
        </w:trPr>
        <w:tc>
          <w:tcPr>
            <w:tcW w:w="2448" w:type="dxa"/>
            <w:tcBorders>
              <w:top w:val="double" w:sz="4" w:space="0" w:color="auto"/>
              <w:left w:val="single" w:sz="12" w:space="0" w:color="auto"/>
              <w:bottom w:val="single" w:sz="4" w:space="0" w:color="auto"/>
              <w:right w:val="single" w:sz="4" w:space="0" w:color="auto"/>
            </w:tcBorders>
            <w:hideMark/>
          </w:tcPr>
          <w:p w14:paraId="364A29FB" w14:textId="77777777" w:rsidR="00195149" w:rsidRPr="00195149" w:rsidRDefault="00195149" w:rsidP="00195149">
            <w:pPr>
              <w:jc w:val="center"/>
              <w:rPr>
                <w:sz w:val="20"/>
                <w:szCs w:val="20"/>
              </w:rPr>
            </w:pPr>
            <w:r w:rsidRPr="00195149">
              <w:rPr>
                <w:sz w:val="20"/>
                <w:szCs w:val="20"/>
              </w:rPr>
              <w:t>Under Frequency (81U)</w:t>
            </w:r>
          </w:p>
        </w:tc>
        <w:tc>
          <w:tcPr>
            <w:tcW w:w="2880" w:type="dxa"/>
            <w:tcBorders>
              <w:top w:val="double" w:sz="4" w:space="0" w:color="auto"/>
              <w:left w:val="single" w:sz="4" w:space="0" w:color="auto"/>
              <w:bottom w:val="single" w:sz="4" w:space="0" w:color="auto"/>
              <w:right w:val="single" w:sz="4" w:space="0" w:color="auto"/>
            </w:tcBorders>
            <w:hideMark/>
          </w:tcPr>
          <w:p w14:paraId="56394FBC" w14:textId="77777777" w:rsidR="00195149" w:rsidRPr="00195149" w:rsidRDefault="00195149" w:rsidP="00195149">
            <w:pPr>
              <w:jc w:val="center"/>
              <w:rPr>
                <w:sz w:val="20"/>
                <w:szCs w:val="20"/>
              </w:rPr>
            </w:pPr>
            <w:r w:rsidRPr="00195149">
              <w:rPr>
                <w:sz w:val="20"/>
                <w:szCs w:val="20"/>
                <w:u w:val="single"/>
              </w:rPr>
              <w:t>&lt;</w:t>
            </w:r>
            <w:r w:rsidRPr="00195149">
              <w:rPr>
                <w:sz w:val="20"/>
                <w:szCs w:val="20"/>
              </w:rPr>
              <w:t xml:space="preserve"> </w:t>
            </w:r>
            <w:r w:rsidRPr="00195149">
              <w:rPr>
                <w:b/>
                <w:sz w:val="20"/>
                <w:szCs w:val="20"/>
              </w:rPr>
              <w:t>56.5 Hz</w:t>
            </w:r>
          </w:p>
        </w:tc>
        <w:tc>
          <w:tcPr>
            <w:tcW w:w="1620" w:type="dxa"/>
            <w:tcBorders>
              <w:top w:val="double" w:sz="4" w:space="0" w:color="auto"/>
              <w:left w:val="single" w:sz="4" w:space="0" w:color="auto"/>
              <w:bottom w:val="single" w:sz="4" w:space="0" w:color="auto"/>
              <w:right w:val="single" w:sz="12" w:space="0" w:color="auto"/>
            </w:tcBorders>
            <w:hideMark/>
          </w:tcPr>
          <w:p w14:paraId="6FB4B90F" w14:textId="77777777" w:rsidR="00195149" w:rsidRPr="00195149" w:rsidRDefault="00195149" w:rsidP="00195149">
            <w:pPr>
              <w:jc w:val="center"/>
              <w:rPr>
                <w:b/>
                <w:sz w:val="20"/>
                <w:szCs w:val="20"/>
              </w:rPr>
            </w:pPr>
            <w:r w:rsidRPr="00195149">
              <w:rPr>
                <w:b/>
                <w:sz w:val="20"/>
                <w:szCs w:val="20"/>
              </w:rPr>
              <w:t>0.16</w:t>
            </w:r>
          </w:p>
        </w:tc>
      </w:tr>
      <w:tr w:rsidR="00195149" w:rsidRPr="00195149" w14:paraId="76C39426" w14:textId="77777777" w:rsidTr="001E2113">
        <w:trPr>
          <w:trHeight w:val="288"/>
          <w:jc w:val="center"/>
        </w:trPr>
        <w:tc>
          <w:tcPr>
            <w:tcW w:w="2448" w:type="dxa"/>
            <w:tcBorders>
              <w:top w:val="single" w:sz="4" w:space="0" w:color="auto"/>
              <w:left w:val="single" w:sz="12" w:space="0" w:color="auto"/>
              <w:bottom w:val="single" w:sz="4" w:space="0" w:color="auto"/>
              <w:right w:val="single" w:sz="4" w:space="0" w:color="auto"/>
            </w:tcBorders>
            <w:hideMark/>
          </w:tcPr>
          <w:p w14:paraId="593F568A" w14:textId="77777777" w:rsidR="00195149" w:rsidRPr="00195149" w:rsidRDefault="00195149" w:rsidP="00195149">
            <w:pPr>
              <w:jc w:val="center"/>
              <w:rPr>
                <w:sz w:val="20"/>
                <w:szCs w:val="20"/>
              </w:rPr>
            </w:pPr>
            <w:r w:rsidRPr="00195149">
              <w:rPr>
                <w:sz w:val="20"/>
                <w:szCs w:val="20"/>
              </w:rPr>
              <w:t>Under Frequency (81U)</w:t>
            </w:r>
          </w:p>
        </w:tc>
        <w:tc>
          <w:tcPr>
            <w:tcW w:w="2880" w:type="dxa"/>
            <w:tcBorders>
              <w:top w:val="single" w:sz="4" w:space="0" w:color="auto"/>
              <w:left w:val="single" w:sz="4" w:space="0" w:color="auto"/>
              <w:bottom w:val="single" w:sz="4" w:space="0" w:color="auto"/>
              <w:right w:val="single" w:sz="4" w:space="0" w:color="auto"/>
            </w:tcBorders>
            <w:shd w:val="clear" w:color="auto" w:fill="auto"/>
            <w:hideMark/>
          </w:tcPr>
          <w:p w14:paraId="6DE7C0F4" w14:textId="620DCB81" w:rsidR="00195149" w:rsidRPr="00195149" w:rsidRDefault="00195149" w:rsidP="00195149">
            <w:pPr>
              <w:jc w:val="center"/>
              <w:rPr>
                <w:b/>
                <w:bCs/>
                <w:sz w:val="20"/>
                <w:szCs w:val="20"/>
              </w:rPr>
            </w:pPr>
            <w:r w:rsidRPr="00195149">
              <w:rPr>
                <w:b/>
                <w:bCs/>
                <w:sz w:val="20"/>
                <w:szCs w:val="20"/>
              </w:rPr>
              <w:t>&lt; 58.5 Hz</w:t>
            </w:r>
          </w:p>
        </w:tc>
        <w:tc>
          <w:tcPr>
            <w:tcW w:w="1620" w:type="dxa"/>
            <w:tcBorders>
              <w:top w:val="single" w:sz="4" w:space="0" w:color="auto"/>
              <w:left w:val="single" w:sz="4" w:space="0" w:color="auto"/>
              <w:bottom w:val="single" w:sz="4" w:space="0" w:color="auto"/>
              <w:right w:val="single" w:sz="12" w:space="0" w:color="auto"/>
            </w:tcBorders>
            <w:hideMark/>
          </w:tcPr>
          <w:p w14:paraId="6EE232CB" w14:textId="77777777" w:rsidR="00195149" w:rsidRPr="00195149" w:rsidRDefault="00195149" w:rsidP="00195149">
            <w:pPr>
              <w:jc w:val="center"/>
              <w:rPr>
                <w:b/>
                <w:sz w:val="20"/>
                <w:szCs w:val="20"/>
              </w:rPr>
            </w:pPr>
            <w:r w:rsidRPr="00195149">
              <w:rPr>
                <w:b/>
                <w:sz w:val="20"/>
                <w:szCs w:val="20"/>
              </w:rPr>
              <w:t>300</w:t>
            </w:r>
          </w:p>
        </w:tc>
      </w:tr>
      <w:tr w:rsidR="00195149" w:rsidRPr="00195149" w14:paraId="19B50853" w14:textId="77777777" w:rsidTr="001E2113">
        <w:trPr>
          <w:trHeight w:val="288"/>
          <w:jc w:val="center"/>
        </w:trPr>
        <w:tc>
          <w:tcPr>
            <w:tcW w:w="2448" w:type="dxa"/>
            <w:tcBorders>
              <w:top w:val="single" w:sz="4" w:space="0" w:color="auto"/>
              <w:left w:val="single" w:sz="12" w:space="0" w:color="auto"/>
              <w:bottom w:val="single" w:sz="4" w:space="0" w:color="auto"/>
              <w:right w:val="single" w:sz="4" w:space="0" w:color="auto"/>
            </w:tcBorders>
            <w:hideMark/>
          </w:tcPr>
          <w:p w14:paraId="48176021" w14:textId="77777777" w:rsidR="00195149" w:rsidRPr="00195149" w:rsidRDefault="00195149" w:rsidP="00195149">
            <w:pPr>
              <w:jc w:val="center"/>
              <w:rPr>
                <w:sz w:val="20"/>
                <w:szCs w:val="20"/>
              </w:rPr>
            </w:pPr>
            <w:r w:rsidRPr="00195149">
              <w:rPr>
                <w:sz w:val="20"/>
                <w:szCs w:val="20"/>
              </w:rPr>
              <w:t>Over Frequency (81O)</w:t>
            </w:r>
          </w:p>
        </w:tc>
        <w:tc>
          <w:tcPr>
            <w:tcW w:w="2880" w:type="dxa"/>
            <w:tcBorders>
              <w:top w:val="single" w:sz="4" w:space="0" w:color="auto"/>
              <w:left w:val="single" w:sz="4" w:space="0" w:color="auto"/>
              <w:bottom w:val="single" w:sz="4" w:space="0" w:color="auto"/>
              <w:right w:val="single" w:sz="4" w:space="0" w:color="auto"/>
            </w:tcBorders>
            <w:shd w:val="clear" w:color="auto" w:fill="auto"/>
            <w:hideMark/>
          </w:tcPr>
          <w:p w14:paraId="43CFA23D" w14:textId="46450BE6" w:rsidR="00195149" w:rsidRPr="00195149" w:rsidRDefault="00195149" w:rsidP="00195149">
            <w:pPr>
              <w:jc w:val="center"/>
              <w:rPr>
                <w:sz w:val="20"/>
                <w:szCs w:val="20"/>
              </w:rPr>
            </w:pPr>
            <w:r w:rsidRPr="00195149">
              <w:rPr>
                <w:b/>
                <w:sz w:val="20"/>
                <w:szCs w:val="20"/>
              </w:rPr>
              <w:t>61.2 Hz</w:t>
            </w:r>
            <w:r w:rsidRPr="00195149">
              <w:rPr>
                <w:sz w:val="20"/>
                <w:szCs w:val="20"/>
              </w:rPr>
              <w:t xml:space="preserve"> </w:t>
            </w:r>
            <w:r w:rsidRPr="00195149">
              <w:rPr>
                <w:sz w:val="20"/>
                <w:szCs w:val="20"/>
                <w:u w:val="single"/>
              </w:rPr>
              <w:t>&lt;</w:t>
            </w:r>
            <w:r w:rsidRPr="00195149">
              <w:rPr>
                <w:sz w:val="20"/>
                <w:szCs w:val="20"/>
              </w:rPr>
              <w:t xml:space="preserve"> f &lt;62.0Hz</w:t>
            </w:r>
          </w:p>
        </w:tc>
        <w:tc>
          <w:tcPr>
            <w:tcW w:w="1620" w:type="dxa"/>
            <w:tcBorders>
              <w:top w:val="single" w:sz="4" w:space="0" w:color="auto"/>
              <w:left w:val="single" w:sz="4" w:space="0" w:color="auto"/>
              <w:bottom w:val="single" w:sz="4" w:space="0" w:color="auto"/>
              <w:right w:val="single" w:sz="12" w:space="0" w:color="auto"/>
            </w:tcBorders>
            <w:hideMark/>
          </w:tcPr>
          <w:p w14:paraId="0F8FC63F" w14:textId="77777777" w:rsidR="00195149" w:rsidRPr="00195149" w:rsidRDefault="00195149" w:rsidP="00195149">
            <w:pPr>
              <w:jc w:val="center"/>
              <w:rPr>
                <w:b/>
                <w:sz w:val="20"/>
                <w:szCs w:val="20"/>
              </w:rPr>
            </w:pPr>
            <w:r w:rsidRPr="00195149">
              <w:rPr>
                <w:b/>
                <w:sz w:val="20"/>
                <w:szCs w:val="20"/>
              </w:rPr>
              <w:t>300</w:t>
            </w:r>
          </w:p>
        </w:tc>
      </w:tr>
      <w:tr w:rsidR="00195149" w:rsidRPr="00195149" w14:paraId="317AFC54" w14:textId="77777777" w:rsidTr="001E2113">
        <w:trPr>
          <w:trHeight w:val="288"/>
          <w:jc w:val="center"/>
        </w:trPr>
        <w:tc>
          <w:tcPr>
            <w:tcW w:w="2448" w:type="dxa"/>
            <w:tcBorders>
              <w:top w:val="single" w:sz="4" w:space="0" w:color="auto"/>
              <w:left w:val="single" w:sz="12" w:space="0" w:color="auto"/>
              <w:bottom w:val="single" w:sz="4" w:space="0" w:color="auto"/>
              <w:right w:val="single" w:sz="4" w:space="0" w:color="auto"/>
            </w:tcBorders>
          </w:tcPr>
          <w:p w14:paraId="510D1CC9" w14:textId="77777777" w:rsidR="00195149" w:rsidRPr="00195149" w:rsidRDefault="00195149" w:rsidP="00195149">
            <w:pPr>
              <w:jc w:val="center"/>
              <w:rPr>
                <w:sz w:val="20"/>
                <w:szCs w:val="20"/>
              </w:rPr>
            </w:pPr>
            <w:r w:rsidRPr="00195149">
              <w:rPr>
                <w:sz w:val="20"/>
                <w:szCs w:val="20"/>
              </w:rPr>
              <w:t>Over Frequency (81O)</w:t>
            </w:r>
          </w:p>
        </w:tc>
        <w:tc>
          <w:tcPr>
            <w:tcW w:w="2880" w:type="dxa"/>
            <w:tcBorders>
              <w:top w:val="single" w:sz="4" w:space="0" w:color="auto"/>
              <w:left w:val="single" w:sz="4" w:space="0" w:color="auto"/>
              <w:bottom w:val="single" w:sz="4" w:space="0" w:color="auto"/>
              <w:right w:val="single" w:sz="4" w:space="0" w:color="auto"/>
            </w:tcBorders>
          </w:tcPr>
          <w:p w14:paraId="7F16338A" w14:textId="77777777" w:rsidR="00195149" w:rsidRPr="00195149" w:rsidRDefault="00195149" w:rsidP="00195149">
            <w:pPr>
              <w:jc w:val="center"/>
              <w:rPr>
                <w:sz w:val="20"/>
                <w:szCs w:val="20"/>
              </w:rPr>
            </w:pPr>
            <w:r w:rsidRPr="00195149">
              <w:rPr>
                <w:sz w:val="20"/>
                <w:szCs w:val="20"/>
                <w:u w:val="single"/>
              </w:rPr>
              <w:t>&gt;</w:t>
            </w:r>
            <w:r w:rsidRPr="00195149">
              <w:rPr>
                <w:sz w:val="20"/>
                <w:szCs w:val="20"/>
              </w:rPr>
              <w:t xml:space="preserve"> </w:t>
            </w:r>
            <w:r w:rsidRPr="00195149">
              <w:rPr>
                <w:b/>
                <w:sz w:val="20"/>
                <w:szCs w:val="20"/>
              </w:rPr>
              <w:t>62.0 Hz</w:t>
            </w:r>
          </w:p>
        </w:tc>
        <w:tc>
          <w:tcPr>
            <w:tcW w:w="1620" w:type="dxa"/>
            <w:tcBorders>
              <w:top w:val="single" w:sz="4" w:space="0" w:color="auto"/>
              <w:left w:val="single" w:sz="4" w:space="0" w:color="auto"/>
              <w:bottom w:val="single" w:sz="4" w:space="0" w:color="auto"/>
              <w:right w:val="single" w:sz="12" w:space="0" w:color="auto"/>
            </w:tcBorders>
          </w:tcPr>
          <w:p w14:paraId="11C44440" w14:textId="77777777" w:rsidR="00195149" w:rsidRPr="00195149" w:rsidRDefault="00195149" w:rsidP="00195149">
            <w:pPr>
              <w:jc w:val="center"/>
              <w:rPr>
                <w:b/>
                <w:sz w:val="20"/>
                <w:szCs w:val="20"/>
              </w:rPr>
            </w:pPr>
            <w:r w:rsidRPr="00195149">
              <w:rPr>
                <w:b/>
                <w:sz w:val="20"/>
                <w:szCs w:val="20"/>
              </w:rPr>
              <w:t>0.16</w:t>
            </w:r>
          </w:p>
        </w:tc>
      </w:tr>
      <w:tr w:rsidR="00195149" w:rsidRPr="00195149" w14:paraId="52602EBE" w14:textId="77777777" w:rsidTr="001E2113">
        <w:trPr>
          <w:trHeight w:val="288"/>
          <w:jc w:val="center"/>
        </w:trPr>
        <w:tc>
          <w:tcPr>
            <w:tcW w:w="2448" w:type="dxa"/>
            <w:tcBorders>
              <w:top w:val="single" w:sz="4" w:space="0" w:color="auto"/>
              <w:left w:val="single" w:sz="12" w:space="0" w:color="auto"/>
              <w:bottom w:val="single" w:sz="4" w:space="0" w:color="auto"/>
              <w:right w:val="single" w:sz="4" w:space="0" w:color="auto"/>
            </w:tcBorders>
            <w:hideMark/>
          </w:tcPr>
          <w:p w14:paraId="562EFB61" w14:textId="77777777" w:rsidR="00195149" w:rsidRPr="00195149" w:rsidRDefault="00195149" w:rsidP="00195149">
            <w:pPr>
              <w:jc w:val="center"/>
              <w:rPr>
                <w:sz w:val="20"/>
                <w:szCs w:val="20"/>
              </w:rPr>
            </w:pPr>
            <w:r w:rsidRPr="00195149">
              <w:rPr>
                <w:sz w:val="20"/>
                <w:szCs w:val="20"/>
              </w:rPr>
              <w:t>Under Voltage (27)</w:t>
            </w:r>
          </w:p>
        </w:tc>
        <w:tc>
          <w:tcPr>
            <w:tcW w:w="2880" w:type="dxa"/>
            <w:tcBorders>
              <w:top w:val="single" w:sz="4" w:space="0" w:color="auto"/>
              <w:left w:val="single" w:sz="4" w:space="0" w:color="auto"/>
              <w:bottom w:val="single" w:sz="4" w:space="0" w:color="auto"/>
              <w:right w:val="single" w:sz="4" w:space="0" w:color="auto"/>
            </w:tcBorders>
            <w:hideMark/>
          </w:tcPr>
          <w:p w14:paraId="636EA269" w14:textId="77777777" w:rsidR="00195149" w:rsidRPr="00195149" w:rsidRDefault="00195149" w:rsidP="00195149">
            <w:pPr>
              <w:jc w:val="center"/>
              <w:rPr>
                <w:sz w:val="20"/>
                <w:szCs w:val="20"/>
              </w:rPr>
            </w:pPr>
            <w:r w:rsidRPr="00195149">
              <w:rPr>
                <w:sz w:val="20"/>
                <w:szCs w:val="20"/>
                <w:u w:val="single"/>
              </w:rPr>
              <w:t>&lt;</w:t>
            </w:r>
            <w:r w:rsidRPr="00195149">
              <w:rPr>
                <w:sz w:val="20"/>
                <w:szCs w:val="20"/>
              </w:rPr>
              <w:t xml:space="preserve"> </w:t>
            </w:r>
            <w:r w:rsidRPr="00195149">
              <w:rPr>
                <w:b/>
                <w:sz w:val="20"/>
                <w:szCs w:val="20"/>
              </w:rPr>
              <w:t>50%</w:t>
            </w:r>
            <w:r w:rsidRPr="00195149">
              <w:rPr>
                <w:sz w:val="20"/>
                <w:szCs w:val="20"/>
              </w:rPr>
              <w:t xml:space="preserve"> of Nominal</w:t>
            </w:r>
          </w:p>
        </w:tc>
        <w:tc>
          <w:tcPr>
            <w:tcW w:w="1620" w:type="dxa"/>
            <w:tcBorders>
              <w:top w:val="single" w:sz="4" w:space="0" w:color="auto"/>
              <w:left w:val="single" w:sz="4" w:space="0" w:color="auto"/>
              <w:bottom w:val="single" w:sz="4" w:space="0" w:color="auto"/>
              <w:right w:val="single" w:sz="12" w:space="0" w:color="auto"/>
            </w:tcBorders>
            <w:hideMark/>
          </w:tcPr>
          <w:p w14:paraId="26597EBF" w14:textId="77777777" w:rsidR="00195149" w:rsidRPr="00195149" w:rsidRDefault="00195149" w:rsidP="00195149">
            <w:pPr>
              <w:jc w:val="center"/>
              <w:rPr>
                <w:b/>
                <w:sz w:val="20"/>
                <w:szCs w:val="20"/>
              </w:rPr>
            </w:pPr>
            <w:r w:rsidRPr="00195149">
              <w:rPr>
                <w:b/>
                <w:sz w:val="20"/>
                <w:szCs w:val="20"/>
              </w:rPr>
              <w:t>1.1</w:t>
            </w:r>
          </w:p>
        </w:tc>
      </w:tr>
      <w:tr w:rsidR="00195149" w:rsidRPr="00195149" w14:paraId="5C5F2DDE" w14:textId="77777777" w:rsidTr="001E2113">
        <w:trPr>
          <w:trHeight w:val="288"/>
          <w:jc w:val="center"/>
        </w:trPr>
        <w:tc>
          <w:tcPr>
            <w:tcW w:w="2448" w:type="dxa"/>
            <w:tcBorders>
              <w:top w:val="single" w:sz="4" w:space="0" w:color="auto"/>
              <w:left w:val="single" w:sz="12" w:space="0" w:color="auto"/>
              <w:bottom w:val="single" w:sz="4" w:space="0" w:color="auto"/>
              <w:right w:val="single" w:sz="4" w:space="0" w:color="auto"/>
            </w:tcBorders>
            <w:hideMark/>
          </w:tcPr>
          <w:p w14:paraId="4EEE0231" w14:textId="77777777" w:rsidR="00195149" w:rsidRPr="00195149" w:rsidRDefault="00195149" w:rsidP="00195149">
            <w:pPr>
              <w:jc w:val="center"/>
              <w:rPr>
                <w:sz w:val="20"/>
                <w:szCs w:val="20"/>
              </w:rPr>
            </w:pPr>
            <w:r w:rsidRPr="00195149">
              <w:rPr>
                <w:sz w:val="20"/>
                <w:szCs w:val="20"/>
              </w:rPr>
              <w:t>Under Voltage (27)</w:t>
            </w:r>
          </w:p>
        </w:tc>
        <w:tc>
          <w:tcPr>
            <w:tcW w:w="2880" w:type="dxa"/>
            <w:tcBorders>
              <w:top w:val="single" w:sz="4" w:space="0" w:color="auto"/>
              <w:left w:val="single" w:sz="4" w:space="0" w:color="auto"/>
              <w:bottom w:val="single" w:sz="4" w:space="0" w:color="auto"/>
              <w:right w:val="single" w:sz="4" w:space="0" w:color="auto"/>
            </w:tcBorders>
            <w:hideMark/>
          </w:tcPr>
          <w:p w14:paraId="1BD70378" w14:textId="77777777" w:rsidR="00195149" w:rsidRPr="00195149" w:rsidRDefault="00195149" w:rsidP="00195149">
            <w:pPr>
              <w:jc w:val="center"/>
              <w:rPr>
                <w:sz w:val="20"/>
                <w:szCs w:val="20"/>
              </w:rPr>
            </w:pPr>
            <w:r w:rsidRPr="00195149">
              <w:rPr>
                <w:sz w:val="20"/>
                <w:szCs w:val="20"/>
              </w:rPr>
              <w:t>50% &lt;V</w:t>
            </w:r>
            <w:r w:rsidRPr="00195149">
              <w:rPr>
                <w:sz w:val="20"/>
                <w:szCs w:val="20"/>
                <w:u w:val="single"/>
              </w:rPr>
              <w:t>&lt;</w:t>
            </w:r>
            <w:r w:rsidRPr="00195149">
              <w:rPr>
                <w:sz w:val="20"/>
                <w:szCs w:val="20"/>
              </w:rPr>
              <w:t xml:space="preserve"> </w:t>
            </w:r>
            <w:r w:rsidRPr="00195149">
              <w:rPr>
                <w:b/>
                <w:sz w:val="20"/>
                <w:szCs w:val="20"/>
              </w:rPr>
              <w:t>88%</w:t>
            </w:r>
            <w:r w:rsidRPr="00195149">
              <w:rPr>
                <w:sz w:val="20"/>
                <w:szCs w:val="20"/>
              </w:rPr>
              <w:t xml:space="preserve"> of Nominal</w:t>
            </w:r>
          </w:p>
        </w:tc>
        <w:tc>
          <w:tcPr>
            <w:tcW w:w="1620" w:type="dxa"/>
            <w:tcBorders>
              <w:top w:val="single" w:sz="4" w:space="0" w:color="auto"/>
              <w:left w:val="single" w:sz="4" w:space="0" w:color="auto"/>
              <w:bottom w:val="single" w:sz="4" w:space="0" w:color="auto"/>
              <w:right w:val="single" w:sz="12" w:space="0" w:color="auto"/>
            </w:tcBorders>
            <w:hideMark/>
          </w:tcPr>
          <w:p w14:paraId="22ACDB20" w14:textId="77777777" w:rsidR="00195149" w:rsidRPr="00195149" w:rsidRDefault="00195149" w:rsidP="00195149">
            <w:pPr>
              <w:jc w:val="center"/>
              <w:rPr>
                <w:b/>
                <w:sz w:val="20"/>
                <w:szCs w:val="20"/>
              </w:rPr>
            </w:pPr>
            <w:r w:rsidRPr="00195149">
              <w:rPr>
                <w:b/>
                <w:sz w:val="20"/>
                <w:szCs w:val="20"/>
              </w:rPr>
              <w:t>3</w:t>
            </w:r>
          </w:p>
        </w:tc>
      </w:tr>
      <w:tr w:rsidR="00195149" w:rsidRPr="00195149" w14:paraId="033FFC62" w14:textId="77777777" w:rsidTr="001E2113">
        <w:trPr>
          <w:trHeight w:val="288"/>
          <w:jc w:val="center"/>
        </w:trPr>
        <w:tc>
          <w:tcPr>
            <w:tcW w:w="2448" w:type="dxa"/>
            <w:tcBorders>
              <w:top w:val="single" w:sz="4" w:space="0" w:color="auto"/>
              <w:left w:val="single" w:sz="12" w:space="0" w:color="auto"/>
              <w:bottom w:val="single" w:sz="4" w:space="0" w:color="auto"/>
              <w:right w:val="single" w:sz="4" w:space="0" w:color="auto"/>
            </w:tcBorders>
            <w:hideMark/>
          </w:tcPr>
          <w:p w14:paraId="4A6F9648" w14:textId="77777777" w:rsidR="00195149" w:rsidRPr="00195149" w:rsidRDefault="00195149" w:rsidP="00195149">
            <w:pPr>
              <w:jc w:val="center"/>
              <w:rPr>
                <w:sz w:val="20"/>
                <w:szCs w:val="20"/>
              </w:rPr>
            </w:pPr>
            <w:r w:rsidRPr="00195149">
              <w:rPr>
                <w:sz w:val="20"/>
                <w:szCs w:val="20"/>
              </w:rPr>
              <w:t>Over Voltage (59)</w:t>
            </w:r>
          </w:p>
        </w:tc>
        <w:tc>
          <w:tcPr>
            <w:tcW w:w="2880" w:type="dxa"/>
            <w:tcBorders>
              <w:top w:val="single" w:sz="4" w:space="0" w:color="auto"/>
              <w:left w:val="single" w:sz="4" w:space="0" w:color="auto"/>
              <w:bottom w:val="single" w:sz="4" w:space="0" w:color="auto"/>
              <w:right w:val="single" w:sz="4" w:space="0" w:color="auto"/>
            </w:tcBorders>
            <w:hideMark/>
          </w:tcPr>
          <w:p w14:paraId="35E532EE" w14:textId="77777777" w:rsidR="00195149" w:rsidRPr="00195149" w:rsidRDefault="00195149" w:rsidP="00195149">
            <w:pPr>
              <w:jc w:val="center"/>
              <w:rPr>
                <w:sz w:val="20"/>
                <w:szCs w:val="20"/>
              </w:rPr>
            </w:pPr>
            <w:r w:rsidRPr="00195149">
              <w:rPr>
                <w:b/>
                <w:sz w:val="20"/>
                <w:szCs w:val="20"/>
              </w:rPr>
              <w:t>110%</w:t>
            </w:r>
            <w:r w:rsidRPr="00195149">
              <w:rPr>
                <w:sz w:val="20"/>
                <w:szCs w:val="20"/>
              </w:rPr>
              <w:t xml:space="preserve"> </w:t>
            </w:r>
            <w:r w:rsidRPr="00195149">
              <w:rPr>
                <w:sz w:val="20"/>
                <w:szCs w:val="20"/>
                <w:u w:val="single"/>
              </w:rPr>
              <w:t>&lt;</w:t>
            </w:r>
            <w:r w:rsidRPr="00195149">
              <w:rPr>
                <w:sz w:val="20"/>
                <w:szCs w:val="20"/>
              </w:rPr>
              <w:t>V&lt; 120% of Nominal</w:t>
            </w:r>
          </w:p>
        </w:tc>
        <w:tc>
          <w:tcPr>
            <w:tcW w:w="1620" w:type="dxa"/>
            <w:tcBorders>
              <w:top w:val="single" w:sz="4" w:space="0" w:color="auto"/>
              <w:left w:val="single" w:sz="4" w:space="0" w:color="auto"/>
              <w:bottom w:val="single" w:sz="4" w:space="0" w:color="auto"/>
              <w:right w:val="single" w:sz="12" w:space="0" w:color="auto"/>
            </w:tcBorders>
            <w:hideMark/>
          </w:tcPr>
          <w:p w14:paraId="34DFA815" w14:textId="77777777" w:rsidR="00195149" w:rsidRPr="00195149" w:rsidRDefault="00195149" w:rsidP="00195149">
            <w:pPr>
              <w:jc w:val="center"/>
              <w:rPr>
                <w:b/>
                <w:sz w:val="20"/>
                <w:szCs w:val="20"/>
              </w:rPr>
            </w:pPr>
            <w:r w:rsidRPr="00195149">
              <w:rPr>
                <w:b/>
                <w:sz w:val="20"/>
                <w:szCs w:val="20"/>
              </w:rPr>
              <w:t>2</w:t>
            </w:r>
          </w:p>
        </w:tc>
      </w:tr>
      <w:tr w:rsidR="00195149" w:rsidRPr="00195149" w14:paraId="2411A55B" w14:textId="77777777" w:rsidTr="001E2113">
        <w:trPr>
          <w:trHeight w:val="288"/>
          <w:jc w:val="center"/>
        </w:trPr>
        <w:tc>
          <w:tcPr>
            <w:tcW w:w="2448" w:type="dxa"/>
            <w:tcBorders>
              <w:top w:val="single" w:sz="4" w:space="0" w:color="auto"/>
              <w:left w:val="single" w:sz="12" w:space="0" w:color="auto"/>
              <w:bottom w:val="single" w:sz="12" w:space="0" w:color="auto"/>
              <w:right w:val="single" w:sz="4" w:space="0" w:color="auto"/>
            </w:tcBorders>
            <w:hideMark/>
          </w:tcPr>
          <w:p w14:paraId="48C1EB68" w14:textId="77777777" w:rsidR="00195149" w:rsidRPr="00195149" w:rsidRDefault="00195149" w:rsidP="00195149">
            <w:pPr>
              <w:jc w:val="center"/>
              <w:rPr>
                <w:sz w:val="20"/>
                <w:szCs w:val="20"/>
              </w:rPr>
            </w:pPr>
            <w:r w:rsidRPr="00195149">
              <w:rPr>
                <w:sz w:val="20"/>
                <w:szCs w:val="20"/>
              </w:rPr>
              <w:t>Over Voltage (59)</w:t>
            </w:r>
          </w:p>
        </w:tc>
        <w:tc>
          <w:tcPr>
            <w:tcW w:w="2880" w:type="dxa"/>
            <w:tcBorders>
              <w:top w:val="single" w:sz="4" w:space="0" w:color="auto"/>
              <w:left w:val="single" w:sz="4" w:space="0" w:color="auto"/>
              <w:bottom w:val="single" w:sz="12" w:space="0" w:color="auto"/>
              <w:right w:val="single" w:sz="4" w:space="0" w:color="auto"/>
            </w:tcBorders>
            <w:hideMark/>
          </w:tcPr>
          <w:p w14:paraId="5270CA47" w14:textId="77777777" w:rsidR="00195149" w:rsidRPr="00195149" w:rsidRDefault="00195149" w:rsidP="00195149">
            <w:pPr>
              <w:jc w:val="center"/>
              <w:rPr>
                <w:sz w:val="20"/>
                <w:szCs w:val="20"/>
              </w:rPr>
            </w:pPr>
            <w:r w:rsidRPr="00195149">
              <w:rPr>
                <w:sz w:val="20"/>
                <w:szCs w:val="20"/>
              </w:rPr>
              <w:t xml:space="preserve">≥ </w:t>
            </w:r>
            <w:r w:rsidRPr="00195149">
              <w:rPr>
                <w:b/>
                <w:sz w:val="20"/>
                <w:szCs w:val="20"/>
              </w:rPr>
              <w:t>120%</w:t>
            </w:r>
            <w:r w:rsidRPr="00195149">
              <w:rPr>
                <w:sz w:val="20"/>
                <w:szCs w:val="20"/>
              </w:rPr>
              <w:t xml:space="preserve"> of Nominal</w:t>
            </w:r>
          </w:p>
        </w:tc>
        <w:tc>
          <w:tcPr>
            <w:tcW w:w="1620" w:type="dxa"/>
            <w:tcBorders>
              <w:top w:val="single" w:sz="4" w:space="0" w:color="auto"/>
              <w:left w:val="single" w:sz="4" w:space="0" w:color="auto"/>
              <w:bottom w:val="single" w:sz="12" w:space="0" w:color="auto"/>
              <w:right w:val="single" w:sz="12" w:space="0" w:color="auto"/>
            </w:tcBorders>
            <w:hideMark/>
          </w:tcPr>
          <w:p w14:paraId="4C0CD9F0" w14:textId="77777777" w:rsidR="00195149" w:rsidRPr="00195149" w:rsidRDefault="00195149" w:rsidP="00195149">
            <w:pPr>
              <w:jc w:val="center"/>
              <w:rPr>
                <w:b/>
                <w:sz w:val="20"/>
                <w:szCs w:val="20"/>
              </w:rPr>
            </w:pPr>
            <w:r w:rsidRPr="00195149">
              <w:rPr>
                <w:b/>
                <w:sz w:val="20"/>
                <w:szCs w:val="20"/>
              </w:rPr>
              <w:t>0.16</w:t>
            </w:r>
          </w:p>
        </w:tc>
      </w:tr>
    </w:tbl>
    <w:p w14:paraId="54014D61" w14:textId="77777777" w:rsidR="00195149" w:rsidRPr="00195149" w:rsidRDefault="00195149" w:rsidP="00195149">
      <w:pPr>
        <w:spacing w:before="60"/>
        <w:ind w:left="1440"/>
      </w:pPr>
      <w:r w:rsidRPr="00195149">
        <w:t>Settings other than the default, within the settings ranges in IEEE 1547, may be acceptable on a case-by-case basis and are subject to review and approval by the Company. DER facilities with Direct Transfer Trip installed may be required to have wider than the default settings to comply with ride through requirements.</w:t>
      </w:r>
    </w:p>
    <w:p w14:paraId="51025A5A" w14:textId="77777777" w:rsidR="00195149" w:rsidRPr="00195149" w:rsidRDefault="00195149" w:rsidP="00195149">
      <w:pPr>
        <w:ind w:left="1440"/>
      </w:pPr>
      <w:r w:rsidRPr="00195149">
        <w:t>Note that consistent with IEEE 1547, the pickups are exact set points, and the time delays are maximum total clearing times (including relay and device interruption time).</w:t>
      </w:r>
    </w:p>
    <w:p w14:paraId="5465CC26" w14:textId="1AFC9169" w:rsidR="00195149" w:rsidRPr="00195149" w:rsidRDefault="00195149" w:rsidP="00195149">
      <w:pPr>
        <w:pStyle w:val="Heading3"/>
        <w:ind w:left="720"/>
        <w:jc w:val="center"/>
        <w:rPr>
          <w:i/>
          <w:iCs/>
          <w:sz w:val="22"/>
          <w:szCs w:val="22"/>
        </w:rPr>
      </w:pPr>
      <w:bookmarkStart w:id="10" w:name="_Toc117155174"/>
      <w:bookmarkStart w:id="11" w:name="_Toc117155601"/>
      <w:bookmarkStart w:id="12" w:name="_Toc117158899"/>
      <w:bookmarkStart w:id="13" w:name="_Toc117173131"/>
      <w:bookmarkStart w:id="14" w:name="_Toc117174446"/>
      <w:bookmarkStart w:id="15" w:name="_Toc117232877"/>
      <w:bookmarkStart w:id="16" w:name="_Toc119506998"/>
      <w:bookmarkStart w:id="17" w:name="_Toc119664112"/>
      <w:bookmarkStart w:id="18" w:name="_Toc119664619"/>
      <w:bookmarkStart w:id="19" w:name="_Toc120611280"/>
      <w:r w:rsidRPr="00195149">
        <w:rPr>
          <w:i/>
          <w:iCs/>
          <w:sz w:val="22"/>
          <w:szCs w:val="22"/>
        </w:rPr>
        <w:t xml:space="preserve">Default Volt-VAR Settings for </w:t>
      </w:r>
      <w:r>
        <w:rPr>
          <w:i/>
          <w:iCs/>
          <w:sz w:val="22"/>
          <w:szCs w:val="22"/>
        </w:rPr>
        <w:t>I</w:t>
      </w:r>
      <w:r w:rsidRPr="00195149">
        <w:rPr>
          <w:i/>
          <w:iCs/>
          <w:sz w:val="22"/>
          <w:szCs w:val="22"/>
        </w:rPr>
        <w:t>nverter-based Utility Interactive DER</w:t>
      </w:r>
      <w:bookmarkEnd w:id="10"/>
      <w:bookmarkEnd w:id="11"/>
      <w:bookmarkEnd w:id="12"/>
      <w:bookmarkEnd w:id="13"/>
      <w:bookmarkEnd w:id="14"/>
      <w:bookmarkEnd w:id="15"/>
      <w:bookmarkEnd w:id="16"/>
      <w:bookmarkEnd w:id="17"/>
      <w:bookmarkEnd w:id="18"/>
      <w:bookmarkEnd w:id="19"/>
      <w:r w:rsidR="00D845AA">
        <w:rPr>
          <w:rStyle w:val="FootnoteReference"/>
          <w:i/>
          <w:iCs/>
          <w:sz w:val="22"/>
          <w:szCs w:val="22"/>
        </w:rPr>
        <w:footnoteReference w:id="1"/>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9"/>
        <w:gridCol w:w="3809"/>
      </w:tblGrid>
      <w:tr w:rsidR="00195149" w:rsidRPr="00195149" w14:paraId="6F164A09" w14:textId="77777777" w:rsidTr="001E2113">
        <w:trPr>
          <w:trHeight w:val="274"/>
          <w:tblHeader/>
          <w:jc w:val="center"/>
        </w:trPr>
        <w:tc>
          <w:tcPr>
            <w:tcW w:w="3799" w:type="dxa"/>
            <w:shd w:val="pct5" w:color="auto" w:fill="auto"/>
          </w:tcPr>
          <w:p w14:paraId="6055AEC3" w14:textId="77777777" w:rsidR="00195149" w:rsidRPr="00195149" w:rsidRDefault="00195149" w:rsidP="001E2113">
            <w:pPr>
              <w:autoSpaceDE w:val="0"/>
              <w:autoSpaceDN w:val="0"/>
              <w:adjustRightInd w:val="0"/>
              <w:jc w:val="center"/>
              <w:rPr>
                <w:rFonts w:cs="Arial"/>
                <w:b/>
                <w:sz w:val="20"/>
                <w:szCs w:val="20"/>
              </w:rPr>
            </w:pPr>
            <w:r w:rsidRPr="00195149">
              <w:rPr>
                <w:rFonts w:cs="Arial"/>
                <w:b/>
                <w:sz w:val="20"/>
                <w:szCs w:val="20"/>
              </w:rPr>
              <w:t>Required Parameter</w:t>
            </w:r>
          </w:p>
        </w:tc>
        <w:tc>
          <w:tcPr>
            <w:tcW w:w="3809" w:type="dxa"/>
            <w:shd w:val="pct5" w:color="auto" w:fill="auto"/>
          </w:tcPr>
          <w:p w14:paraId="521E4A54" w14:textId="77777777" w:rsidR="00195149" w:rsidRPr="00195149" w:rsidRDefault="00195149" w:rsidP="001E2113">
            <w:pPr>
              <w:jc w:val="center"/>
              <w:rPr>
                <w:b/>
                <w:sz w:val="20"/>
                <w:szCs w:val="20"/>
              </w:rPr>
            </w:pPr>
            <w:r w:rsidRPr="00195149">
              <w:rPr>
                <w:b/>
                <w:sz w:val="20"/>
                <w:szCs w:val="20"/>
              </w:rPr>
              <w:t>Default Settings Setpoint</w:t>
            </w:r>
          </w:p>
        </w:tc>
      </w:tr>
      <w:tr w:rsidR="00195149" w:rsidRPr="00195149" w14:paraId="28E108BE" w14:textId="77777777" w:rsidTr="001E2113">
        <w:trPr>
          <w:trHeight w:val="274"/>
          <w:jc w:val="center"/>
        </w:trPr>
        <w:tc>
          <w:tcPr>
            <w:tcW w:w="3799" w:type="dxa"/>
            <w:shd w:val="clear" w:color="auto" w:fill="auto"/>
          </w:tcPr>
          <w:p w14:paraId="45232D16" w14:textId="77777777" w:rsidR="00195149" w:rsidRPr="00195149" w:rsidRDefault="00195149" w:rsidP="001E2113">
            <w:pPr>
              <w:autoSpaceDE w:val="0"/>
              <w:autoSpaceDN w:val="0"/>
              <w:adjustRightInd w:val="0"/>
              <w:jc w:val="center"/>
              <w:rPr>
                <w:rFonts w:cs="Arial"/>
                <w:sz w:val="20"/>
                <w:szCs w:val="20"/>
              </w:rPr>
            </w:pPr>
            <w:r w:rsidRPr="00195149">
              <w:rPr>
                <w:rFonts w:cs="Arial"/>
                <w:sz w:val="20"/>
                <w:szCs w:val="20"/>
              </w:rPr>
              <w:t>Vref</w:t>
            </w:r>
          </w:p>
        </w:tc>
        <w:tc>
          <w:tcPr>
            <w:tcW w:w="3809" w:type="dxa"/>
            <w:shd w:val="clear" w:color="auto" w:fill="auto"/>
          </w:tcPr>
          <w:p w14:paraId="71857B88" w14:textId="77777777" w:rsidR="00195149" w:rsidRPr="00195149" w:rsidRDefault="00195149" w:rsidP="001E2113">
            <w:pPr>
              <w:jc w:val="center"/>
              <w:rPr>
                <w:sz w:val="20"/>
                <w:szCs w:val="20"/>
              </w:rPr>
            </w:pPr>
            <w:r w:rsidRPr="00195149">
              <w:rPr>
                <w:sz w:val="20"/>
                <w:szCs w:val="20"/>
              </w:rPr>
              <w:t>Vn</w:t>
            </w:r>
          </w:p>
        </w:tc>
      </w:tr>
      <w:tr w:rsidR="00195149" w:rsidRPr="00195149" w14:paraId="7A605D22" w14:textId="77777777" w:rsidTr="001E2113">
        <w:trPr>
          <w:trHeight w:val="274"/>
          <w:jc w:val="center"/>
        </w:trPr>
        <w:tc>
          <w:tcPr>
            <w:tcW w:w="3799" w:type="dxa"/>
            <w:shd w:val="clear" w:color="auto" w:fill="auto"/>
          </w:tcPr>
          <w:p w14:paraId="5C193012" w14:textId="77777777" w:rsidR="00195149" w:rsidRPr="00195149" w:rsidRDefault="00195149" w:rsidP="001E2113">
            <w:pPr>
              <w:autoSpaceDE w:val="0"/>
              <w:autoSpaceDN w:val="0"/>
              <w:adjustRightInd w:val="0"/>
              <w:jc w:val="center"/>
              <w:rPr>
                <w:rFonts w:cs="Arial"/>
                <w:sz w:val="20"/>
                <w:szCs w:val="20"/>
              </w:rPr>
            </w:pPr>
            <w:r w:rsidRPr="00195149">
              <w:rPr>
                <w:rFonts w:cs="Arial"/>
                <w:sz w:val="20"/>
                <w:szCs w:val="20"/>
              </w:rPr>
              <w:t>V1</w:t>
            </w:r>
          </w:p>
        </w:tc>
        <w:tc>
          <w:tcPr>
            <w:tcW w:w="3809" w:type="dxa"/>
            <w:shd w:val="clear" w:color="auto" w:fill="auto"/>
          </w:tcPr>
          <w:p w14:paraId="4D561494" w14:textId="77777777" w:rsidR="00195149" w:rsidRPr="00195149" w:rsidRDefault="00195149" w:rsidP="001E2113">
            <w:pPr>
              <w:jc w:val="center"/>
              <w:rPr>
                <w:sz w:val="20"/>
                <w:szCs w:val="20"/>
              </w:rPr>
            </w:pPr>
            <w:r w:rsidRPr="00195149">
              <w:rPr>
                <w:sz w:val="20"/>
                <w:szCs w:val="20"/>
              </w:rPr>
              <w:t>0.93 per unit of nominal voltage</w:t>
            </w:r>
          </w:p>
        </w:tc>
      </w:tr>
      <w:tr w:rsidR="00195149" w:rsidRPr="00195149" w14:paraId="0DA21D14" w14:textId="77777777" w:rsidTr="001E2113">
        <w:trPr>
          <w:trHeight w:val="299"/>
          <w:jc w:val="center"/>
        </w:trPr>
        <w:tc>
          <w:tcPr>
            <w:tcW w:w="3799" w:type="dxa"/>
            <w:shd w:val="clear" w:color="auto" w:fill="auto"/>
          </w:tcPr>
          <w:p w14:paraId="5DE1ECB7" w14:textId="77777777" w:rsidR="00195149" w:rsidRPr="00195149" w:rsidRDefault="00195149" w:rsidP="001E2113">
            <w:pPr>
              <w:autoSpaceDE w:val="0"/>
              <w:autoSpaceDN w:val="0"/>
              <w:adjustRightInd w:val="0"/>
              <w:jc w:val="center"/>
              <w:rPr>
                <w:rFonts w:cs="Arial"/>
                <w:sz w:val="20"/>
                <w:szCs w:val="20"/>
              </w:rPr>
            </w:pPr>
            <w:r w:rsidRPr="00195149">
              <w:rPr>
                <w:rFonts w:cs="Arial"/>
                <w:sz w:val="20"/>
                <w:szCs w:val="20"/>
              </w:rPr>
              <w:t>Q1</w:t>
            </w:r>
          </w:p>
        </w:tc>
        <w:tc>
          <w:tcPr>
            <w:tcW w:w="3809" w:type="dxa"/>
            <w:shd w:val="clear" w:color="auto" w:fill="auto"/>
          </w:tcPr>
          <w:p w14:paraId="3F4322FD" w14:textId="77777777" w:rsidR="00195149" w:rsidRPr="00195149" w:rsidRDefault="00195149" w:rsidP="001E2113">
            <w:pPr>
              <w:jc w:val="center"/>
              <w:rPr>
                <w:sz w:val="20"/>
                <w:szCs w:val="20"/>
              </w:rPr>
            </w:pPr>
            <w:r w:rsidRPr="00195149">
              <w:rPr>
                <w:sz w:val="20"/>
                <w:szCs w:val="20"/>
              </w:rPr>
              <w:t xml:space="preserve">44% of Inverter Reactive Capacity </w:t>
            </w:r>
          </w:p>
        </w:tc>
      </w:tr>
      <w:tr w:rsidR="00195149" w:rsidRPr="00195149" w14:paraId="2926FE87" w14:textId="77777777" w:rsidTr="001E2113">
        <w:trPr>
          <w:trHeight w:val="274"/>
          <w:jc w:val="center"/>
        </w:trPr>
        <w:tc>
          <w:tcPr>
            <w:tcW w:w="3799" w:type="dxa"/>
            <w:shd w:val="clear" w:color="auto" w:fill="auto"/>
          </w:tcPr>
          <w:p w14:paraId="1F424197" w14:textId="77777777" w:rsidR="00195149" w:rsidRPr="00195149" w:rsidRDefault="00195149" w:rsidP="001E2113">
            <w:pPr>
              <w:autoSpaceDE w:val="0"/>
              <w:autoSpaceDN w:val="0"/>
              <w:adjustRightInd w:val="0"/>
              <w:jc w:val="center"/>
              <w:rPr>
                <w:sz w:val="20"/>
                <w:szCs w:val="20"/>
              </w:rPr>
            </w:pPr>
            <w:r w:rsidRPr="00195149">
              <w:rPr>
                <w:rFonts w:cs="Arial"/>
                <w:sz w:val="20"/>
                <w:szCs w:val="20"/>
              </w:rPr>
              <w:t>V2</w:t>
            </w:r>
          </w:p>
        </w:tc>
        <w:tc>
          <w:tcPr>
            <w:tcW w:w="3809" w:type="dxa"/>
            <w:shd w:val="clear" w:color="auto" w:fill="auto"/>
          </w:tcPr>
          <w:p w14:paraId="4BDAEF9C" w14:textId="77777777" w:rsidR="00195149" w:rsidRPr="00195149" w:rsidRDefault="00195149" w:rsidP="001E2113">
            <w:pPr>
              <w:jc w:val="center"/>
              <w:rPr>
                <w:sz w:val="20"/>
                <w:szCs w:val="20"/>
              </w:rPr>
            </w:pPr>
            <w:r w:rsidRPr="00195149">
              <w:rPr>
                <w:sz w:val="20"/>
                <w:szCs w:val="20"/>
              </w:rPr>
              <w:t>0.97 per unit of nominal voltage</w:t>
            </w:r>
          </w:p>
        </w:tc>
      </w:tr>
      <w:tr w:rsidR="00195149" w:rsidRPr="00195149" w14:paraId="59D92E9B" w14:textId="77777777" w:rsidTr="001E2113">
        <w:trPr>
          <w:trHeight w:val="274"/>
          <w:jc w:val="center"/>
        </w:trPr>
        <w:tc>
          <w:tcPr>
            <w:tcW w:w="3799" w:type="dxa"/>
            <w:shd w:val="clear" w:color="auto" w:fill="auto"/>
          </w:tcPr>
          <w:p w14:paraId="57FF4620" w14:textId="77777777" w:rsidR="00195149" w:rsidRPr="00195149" w:rsidRDefault="00195149" w:rsidP="001E2113">
            <w:pPr>
              <w:autoSpaceDE w:val="0"/>
              <w:autoSpaceDN w:val="0"/>
              <w:adjustRightInd w:val="0"/>
              <w:jc w:val="center"/>
              <w:rPr>
                <w:rFonts w:cs="Arial"/>
                <w:sz w:val="20"/>
                <w:szCs w:val="20"/>
              </w:rPr>
            </w:pPr>
            <w:r w:rsidRPr="00195149">
              <w:rPr>
                <w:rFonts w:cs="Arial"/>
                <w:sz w:val="20"/>
                <w:szCs w:val="20"/>
              </w:rPr>
              <w:t>Q2</w:t>
            </w:r>
          </w:p>
        </w:tc>
        <w:tc>
          <w:tcPr>
            <w:tcW w:w="3809" w:type="dxa"/>
            <w:shd w:val="clear" w:color="auto" w:fill="auto"/>
          </w:tcPr>
          <w:p w14:paraId="77322598" w14:textId="77777777" w:rsidR="00195149" w:rsidRPr="00195149" w:rsidRDefault="00195149" w:rsidP="001E2113">
            <w:pPr>
              <w:jc w:val="center"/>
              <w:rPr>
                <w:sz w:val="20"/>
                <w:szCs w:val="20"/>
              </w:rPr>
            </w:pPr>
            <w:r w:rsidRPr="00195149">
              <w:rPr>
                <w:sz w:val="20"/>
                <w:szCs w:val="20"/>
              </w:rPr>
              <w:t>0% of Inverter Reactive Capacity</w:t>
            </w:r>
          </w:p>
        </w:tc>
      </w:tr>
      <w:tr w:rsidR="00195149" w:rsidRPr="00195149" w14:paraId="2C76AB4C" w14:textId="77777777" w:rsidTr="001E2113">
        <w:trPr>
          <w:trHeight w:val="274"/>
          <w:jc w:val="center"/>
        </w:trPr>
        <w:tc>
          <w:tcPr>
            <w:tcW w:w="3799" w:type="dxa"/>
            <w:shd w:val="clear" w:color="auto" w:fill="auto"/>
          </w:tcPr>
          <w:p w14:paraId="7BDDC9D8" w14:textId="77777777" w:rsidR="00195149" w:rsidRPr="00195149" w:rsidRDefault="00195149" w:rsidP="001E2113">
            <w:pPr>
              <w:autoSpaceDE w:val="0"/>
              <w:autoSpaceDN w:val="0"/>
              <w:adjustRightInd w:val="0"/>
              <w:jc w:val="center"/>
              <w:rPr>
                <w:rFonts w:cs="Arial"/>
                <w:sz w:val="20"/>
                <w:szCs w:val="20"/>
              </w:rPr>
            </w:pPr>
            <w:r w:rsidRPr="00195149">
              <w:rPr>
                <w:rFonts w:cs="Arial"/>
                <w:sz w:val="20"/>
                <w:szCs w:val="20"/>
              </w:rPr>
              <w:t>V3</w:t>
            </w:r>
          </w:p>
        </w:tc>
        <w:tc>
          <w:tcPr>
            <w:tcW w:w="3809" w:type="dxa"/>
            <w:shd w:val="clear" w:color="auto" w:fill="auto"/>
          </w:tcPr>
          <w:p w14:paraId="069565FF" w14:textId="77777777" w:rsidR="00195149" w:rsidRPr="00195149" w:rsidRDefault="00195149" w:rsidP="001E2113">
            <w:pPr>
              <w:jc w:val="center"/>
              <w:rPr>
                <w:sz w:val="20"/>
                <w:szCs w:val="20"/>
              </w:rPr>
            </w:pPr>
            <w:r w:rsidRPr="00195149">
              <w:rPr>
                <w:sz w:val="20"/>
                <w:szCs w:val="20"/>
              </w:rPr>
              <w:t>1.03 per unit of nominal voltage</w:t>
            </w:r>
          </w:p>
        </w:tc>
      </w:tr>
      <w:tr w:rsidR="00195149" w:rsidRPr="00195149" w14:paraId="5AF796F6" w14:textId="77777777" w:rsidTr="001E2113">
        <w:trPr>
          <w:trHeight w:val="274"/>
          <w:jc w:val="center"/>
        </w:trPr>
        <w:tc>
          <w:tcPr>
            <w:tcW w:w="3799" w:type="dxa"/>
            <w:shd w:val="clear" w:color="auto" w:fill="auto"/>
          </w:tcPr>
          <w:p w14:paraId="5F965D45" w14:textId="77777777" w:rsidR="00195149" w:rsidRPr="00195149" w:rsidRDefault="00195149" w:rsidP="001E2113">
            <w:pPr>
              <w:autoSpaceDE w:val="0"/>
              <w:autoSpaceDN w:val="0"/>
              <w:adjustRightInd w:val="0"/>
              <w:jc w:val="center"/>
              <w:rPr>
                <w:rFonts w:cs="Arial"/>
                <w:sz w:val="20"/>
                <w:szCs w:val="20"/>
              </w:rPr>
            </w:pPr>
            <w:r w:rsidRPr="00195149">
              <w:rPr>
                <w:rFonts w:cs="Arial"/>
                <w:sz w:val="20"/>
                <w:szCs w:val="20"/>
              </w:rPr>
              <w:t>Q3</w:t>
            </w:r>
          </w:p>
        </w:tc>
        <w:tc>
          <w:tcPr>
            <w:tcW w:w="3809" w:type="dxa"/>
            <w:shd w:val="clear" w:color="auto" w:fill="auto"/>
          </w:tcPr>
          <w:p w14:paraId="26851807" w14:textId="77777777" w:rsidR="00195149" w:rsidRPr="00195149" w:rsidRDefault="00195149" w:rsidP="001E2113">
            <w:pPr>
              <w:jc w:val="center"/>
              <w:rPr>
                <w:sz w:val="20"/>
                <w:szCs w:val="20"/>
              </w:rPr>
            </w:pPr>
            <w:r w:rsidRPr="00195149">
              <w:rPr>
                <w:sz w:val="20"/>
                <w:szCs w:val="20"/>
              </w:rPr>
              <w:t>0% of Inverter Reactive Capacity</w:t>
            </w:r>
          </w:p>
        </w:tc>
      </w:tr>
      <w:tr w:rsidR="00195149" w:rsidRPr="00195149" w14:paraId="6D02DF70" w14:textId="77777777" w:rsidTr="001E2113">
        <w:trPr>
          <w:trHeight w:val="274"/>
          <w:jc w:val="center"/>
        </w:trPr>
        <w:tc>
          <w:tcPr>
            <w:tcW w:w="3799" w:type="dxa"/>
            <w:shd w:val="clear" w:color="auto" w:fill="auto"/>
          </w:tcPr>
          <w:p w14:paraId="67675413" w14:textId="77777777" w:rsidR="00195149" w:rsidRPr="00195149" w:rsidRDefault="00195149" w:rsidP="001E2113">
            <w:pPr>
              <w:autoSpaceDE w:val="0"/>
              <w:autoSpaceDN w:val="0"/>
              <w:adjustRightInd w:val="0"/>
              <w:jc w:val="center"/>
              <w:rPr>
                <w:rFonts w:cs="Arial"/>
                <w:sz w:val="20"/>
                <w:szCs w:val="20"/>
              </w:rPr>
            </w:pPr>
            <w:r w:rsidRPr="00195149">
              <w:rPr>
                <w:rFonts w:cs="Arial"/>
                <w:sz w:val="20"/>
                <w:szCs w:val="20"/>
              </w:rPr>
              <w:t>V4</w:t>
            </w:r>
          </w:p>
        </w:tc>
        <w:tc>
          <w:tcPr>
            <w:tcW w:w="3809" w:type="dxa"/>
            <w:shd w:val="clear" w:color="auto" w:fill="auto"/>
          </w:tcPr>
          <w:p w14:paraId="02114EA6" w14:textId="77777777" w:rsidR="00195149" w:rsidRPr="00195149" w:rsidRDefault="00195149" w:rsidP="001E2113">
            <w:pPr>
              <w:jc w:val="center"/>
              <w:rPr>
                <w:sz w:val="20"/>
                <w:szCs w:val="20"/>
              </w:rPr>
            </w:pPr>
            <w:r w:rsidRPr="00195149">
              <w:rPr>
                <w:sz w:val="20"/>
                <w:szCs w:val="20"/>
              </w:rPr>
              <w:t>1.07 per unit of nominal voltage</w:t>
            </w:r>
          </w:p>
        </w:tc>
      </w:tr>
      <w:tr w:rsidR="00195149" w:rsidRPr="00195149" w14:paraId="0A0A28B2" w14:textId="77777777" w:rsidTr="001E2113">
        <w:trPr>
          <w:trHeight w:val="275"/>
          <w:jc w:val="center"/>
        </w:trPr>
        <w:tc>
          <w:tcPr>
            <w:tcW w:w="3799" w:type="dxa"/>
            <w:shd w:val="clear" w:color="auto" w:fill="auto"/>
          </w:tcPr>
          <w:p w14:paraId="2242C12E" w14:textId="77777777" w:rsidR="00195149" w:rsidRPr="00195149" w:rsidRDefault="00195149" w:rsidP="001E2113">
            <w:pPr>
              <w:autoSpaceDE w:val="0"/>
              <w:autoSpaceDN w:val="0"/>
              <w:adjustRightInd w:val="0"/>
              <w:jc w:val="center"/>
              <w:rPr>
                <w:rFonts w:cs="Arial"/>
                <w:sz w:val="20"/>
                <w:szCs w:val="20"/>
              </w:rPr>
            </w:pPr>
            <w:r w:rsidRPr="00195149">
              <w:rPr>
                <w:rFonts w:cs="Arial"/>
                <w:sz w:val="20"/>
                <w:szCs w:val="20"/>
              </w:rPr>
              <w:t>Q4</w:t>
            </w:r>
          </w:p>
        </w:tc>
        <w:tc>
          <w:tcPr>
            <w:tcW w:w="3809" w:type="dxa"/>
            <w:shd w:val="clear" w:color="auto" w:fill="auto"/>
          </w:tcPr>
          <w:p w14:paraId="75F9C512" w14:textId="77777777" w:rsidR="00195149" w:rsidRPr="00195149" w:rsidRDefault="00195149" w:rsidP="001E2113">
            <w:pPr>
              <w:jc w:val="center"/>
              <w:rPr>
                <w:sz w:val="20"/>
                <w:szCs w:val="20"/>
              </w:rPr>
            </w:pPr>
            <w:r w:rsidRPr="00195149">
              <w:rPr>
                <w:sz w:val="20"/>
                <w:szCs w:val="20"/>
              </w:rPr>
              <w:t>-44% of Inverter Reactive Capacity</w:t>
            </w:r>
          </w:p>
        </w:tc>
      </w:tr>
      <w:tr w:rsidR="00195149" w:rsidRPr="00195149" w14:paraId="00D6B8E6" w14:textId="77777777" w:rsidTr="001E2113">
        <w:trPr>
          <w:trHeight w:val="285"/>
          <w:jc w:val="center"/>
        </w:trPr>
        <w:tc>
          <w:tcPr>
            <w:tcW w:w="3799" w:type="dxa"/>
            <w:shd w:val="clear" w:color="auto" w:fill="auto"/>
          </w:tcPr>
          <w:p w14:paraId="42C7F088" w14:textId="77777777" w:rsidR="00195149" w:rsidRPr="00195149" w:rsidRDefault="00195149" w:rsidP="001E2113">
            <w:pPr>
              <w:autoSpaceDE w:val="0"/>
              <w:autoSpaceDN w:val="0"/>
              <w:adjustRightInd w:val="0"/>
              <w:jc w:val="center"/>
              <w:rPr>
                <w:rFonts w:cs="Arial"/>
                <w:sz w:val="20"/>
                <w:szCs w:val="20"/>
              </w:rPr>
            </w:pPr>
            <w:r w:rsidRPr="00195149">
              <w:rPr>
                <w:rFonts w:cs="Arial"/>
                <w:sz w:val="20"/>
                <w:szCs w:val="20"/>
              </w:rPr>
              <w:t>Open Loop Response Time</w:t>
            </w:r>
          </w:p>
        </w:tc>
        <w:tc>
          <w:tcPr>
            <w:tcW w:w="3809" w:type="dxa"/>
            <w:shd w:val="clear" w:color="auto" w:fill="auto"/>
          </w:tcPr>
          <w:p w14:paraId="0B637045" w14:textId="77777777" w:rsidR="00195149" w:rsidRPr="00195149" w:rsidRDefault="00195149" w:rsidP="001E2113">
            <w:pPr>
              <w:jc w:val="center"/>
              <w:rPr>
                <w:sz w:val="20"/>
                <w:szCs w:val="20"/>
              </w:rPr>
            </w:pPr>
            <w:r w:rsidRPr="00195149">
              <w:rPr>
                <w:sz w:val="20"/>
                <w:szCs w:val="20"/>
              </w:rPr>
              <w:t>5s</w:t>
            </w:r>
          </w:p>
        </w:tc>
      </w:tr>
      <w:tr w:rsidR="00195149" w:rsidRPr="00195149" w14:paraId="181D9F52" w14:textId="77777777" w:rsidTr="001E2113">
        <w:trPr>
          <w:trHeight w:val="306"/>
          <w:jc w:val="center"/>
        </w:trPr>
        <w:tc>
          <w:tcPr>
            <w:tcW w:w="3799" w:type="dxa"/>
            <w:shd w:val="clear" w:color="auto" w:fill="auto"/>
          </w:tcPr>
          <w:p w14:paraId="487FFB03" w14:textId="77777777" w:rsidR="00195149" w:rsidRPr="00195149" w:rsidRDefault="00195149" w:rsidP="001E2113">
            <w:pPr>
              <w:autoSpaceDE w:val="0"/>
              <w:autoSpaceDN w:val="0"/>
              <w:adjustRightInd w:val="0"/>
              <w:jc w:val="center"/>
              <w:rPr>
                <w:rFonts w:cs="Arial"/>
                <w:sz w:val="20"/>
                <w:szCs w:val="20"/>
              </w:rPr>
            </w:pPr>
            <w:r w:rsidRPr="00195149">
              <w:rPr>
                <w:rFonts w:cs="Arial"/>
                <w:sz w:val="20"/>
                <w:szCs w:val="20"/>
              </w:rPr>
              <w:t xml:space="preserve">Autonomous Vref enablement </w:t>
            </w:r>
          </w:p>
        </w:tc>
        <w:tc>
          <w:tcPr>
            <w:tcW w:w="3809" w:type="dxa"/>
            <w:shd w:val="clear" w:color="auto" w:fill="auto"/>
          </w:tcPr>
          <w:p w14:paraId="70CD896A" w14:textId="77777777" w:rsidR="00195149" w:rsidRPr="00195149" w:rsidRDefault="00195149" w:rsidP="001E2113">
            <w:pPr>
              <w:jc w:val="center"/>
              <w:rPr>
                <w:sz w:val="20"/>
                <w:szCs w:val="20"/>
              </w:rPr>
            </w:pPr>
            <w:r w:rsidRPr="00195149">
              <w:rPr>
                <w:sz w:val="20"/>
                <w:szCs w:val="20"/>
              </w:rPr>
              <w:t>OFF</w:t>
            </w:r>
          </w:p>
        </w:tc>
      </w:tr>
    </w:tbl>
    <w:p w14:paraId="4375D159" w14:textId="77777777" w:rsidR="00195149" w:rsidRPr="00195149" w:rsidRDefault="00195149" w:rsidP="00195149">
      <w:pPr>
        <w:spacing w:before="60"/>
        <w:ind w:left="720"/>
      </w:pPr>
      <w:r w:rsidRPr="00195149">
        <w:t>Settings other than the default, within the ranges in IEEE 1547, may be acceptable on a case-by-case basis and are subject to review and approval by the Company.</w:t>
      </w:r>
    </w:p>
    <w:p w14:paraId="19ED24E4" w14:textId="4D8AC274" w:rsidR="00195149" w:rsidRPr="00195149" w:rsidRDefault="00195149" w:rsidP="00195149">
      <w:pPr>
        <w:pStyle w:val="Heading3"/>
        <w:ind w:left="720"/>
        <w:jc w:val="center"/>
        <w:rPr>
          <w:i/>
          <w:iCs/>
          <w:sz w:val="22"/>
          <w:szCs w:val="22"/>
        </w:rPr>
      </w:pPr>
      <w:bookmarkStart w:id="20" w:name="_Toc117155175"/>
      <w:bookmarkStart w:id="21" w:name="_Toc117155602"/>
      <w:bookmarkStart w:id="22" w:name="_Toc117158900"/>
      <w:bookmarkStart w:id="23" w:name="_Toc117173132"/>
      <w:bookmarkStart w:id="24" w:name="_Toc117174447"/>
      <w:bookmarkStart w:id="25" w:name="_Toc117232878"/>
      <w:bookmarkStart w:id="26" w:name="_Toc119506999"/>
      <w:bookmarkStart w:id="27" w:name="_Toc119664113"/>
      <w:bookmarkStart w:id="28" w:name="_Toc119664620"/>
      <w:bookmarkStart w:id="29" w:name="_Toc120611281"/>
      <w:r w:rsidRPr="00195149">
        <w:rPr>
          <w:i/>
          <w:iCs/>
          <w:sz w:val="22"/>
          <w:szCs w:val="22"/>
        </w:rPr>
        <w:lastRenderedPageBreak/>
        <w:t xml:space="preserve">Default Volt-Watt Settings for </w:t>
      </w:r>
      <w:r w:rsidR="000426FE">
        <w:rPr>
          <w:i/>
          <w:iCs/>
          <w:sz w:val="22"/>
          <w:szCs w:val="22"/>
        </w:rPr>
        <w:t>I</w:t>
      </w:r>
      <w:r w:rsidRPr="00195149">
        <w:rPr>
          <w:i/>
          <w:iCs/>
          <w:sz w:val="22"/>
          <w:szCs w:val="22"/>
        </w:rPr>
        <w:t>nverter-based Utility Interactive DER</w:t>
      </w:r>
      <w:bookmarkEnd w:id="20"/>
      <w:bookmarkEnd w:id="21"/>
      <w:bookmarkEnd w:id="22"/>
      <w:bookmarkEnd w:id="23"/>
      <w:bookmarkEnd w:id="24"/>
      <w:bookmarkEnd w:id="25"/>
      <w:bookmarkEnd w:id="26"/>
      <w:bookmarkEnd w:id="27"/>
      <w:bookmarkEnd w:id="28"/>
      <w:bookmarkEnd w:id="29"/>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9"/>
        <w:gridCol w:w="3809"/>
      </w:tblGrid>
      <w:tr w:rsidR="00195149" w:rsidRPr="00195149" w14:paraId="05917259" w14:textId="77777777" w:rsidTr="001E2113">
        <w:trPr>
          <w:trHeight w:val="274"/>
          <w:tblHeader/>
          <w:jc w:val="center"/>
        </w:trPr>
        <w:tc>
          <w:tcPr>
            <w:tcW w:w="3799" w:type="dxa"/>
            <w:shd w:val="pct5" w:color="auto" w:fill="auto"/>
          </w:tcPr>
          <w:p w14:paraId="39AD0556" w14:textId="77777777" w:rsidR="00195149" w:rsidRPr="00195149" w:rsidRDefault="00195149" w:rsidP="001E2113">
            <w:pPr>
              <w:autoSpaceDE w:val="0"/>
              <w:autoSpaceDN w:val="0"/>
              <w:adjustRightInd w:val="0"/>
              <w:jc w:val="center"/>
              <w:rPr>
                <w:rFonts w:cs="Arial"/>
                <w:b/>
                <w:sz w:val="20"/>
                <w:szCs w:val="20"/>
              </w:rPr>
            </w:pPr>
            <w:r w:rsidRPr="00195149">
              <w:rPr>
                <w:rFonts w:cs="Arial"/>
                <w:b/>
                <w:sz w:val="20"/>
                <w:szCs w:val="20"/>
              </w:rPr>
              <w:t>Required Parameter</w:t>
            </w:r>
          </w:p>
        </w:tc>
        <w:tc>
          <w:tcPr>
            <w:tcW w:w="3809" w:type="dxa"/>
            <w:shd w:val="pct5" w:color="auto" w:fill="auto"/>
          </w:tcPr>
          <w:p w14:paraId="3DB28B29" w14:textId="77777777" w:rsidR="00195149" w:rsidRPr="00195149" w:rsidRDefault="00195149" w:rsidP="001E2113">
            <w:pPr>
              <w:jc w:val="center"/>
              <w:rPr>
                <w:b/>
                <w:sz w:val="20"/>
                <w:szCs w:val="20"/>
              </w:rPr>
            </w:pPr>
            <w:r w:rsidRPr="00195149">
              <w:rPr>
                <w:b/>
                <w:sz w:val="20"/>
                <w:szCs w:val="20"/>
              </w:rPr>
              <w:t>Default Settings Setpoint</w:t>
            </w:r>
          </w:p>
        </w:tc>
      </w:tr>
      <w:tr w:rsidR="00195149" w:rsidRPr="00195149" w14:paraId="18E3F174" w14:textId="77777777" w:rsidTr="001E2113">
        <w:trPr>
          <w:trHeight w:val="274"/>
          <w:jc w:val="center"/>
        </w:trPr>
        <w:tc>
          <w:tcPr>
            <w:tcW w:w="3799" w:type="dxa"/>
            <w:shd w:val="clear" w:color="auto" w:fill="auto"/>
          </w:tcPr>
          <w:p w14:paraId="37DC7AA1" w14:textId="77777777" w:rsidR="00195149" w:rsidRPr="00195149" w:rsidRDefault="00195149" w:rsidP="001E2113">
            <w:pPr>
              <w:autoSpaceDE w:val="0"/>
              <w:autoSpaceDN w:val="0"/>
              <w:adjustRightInd w:val="0"/>
              <w:jc w:val="center"/>
              <w:rPr>
                <w:rFonts w:cs="Arial"/>
                <w:sz w:val="20"/>
                <w:szCs w:val="20"/>
              </w:rPr>
            </w:pPr>
            <w:r w:rsidRPr="00195149">
              <w:rPr>
                <w:rFonts w:cs="Arial"/>
                <w:sz w:val="20"/>
                <w:szCs w:val="20"/>
              </w:rPr>
              <w:t>V1</w:t>
            </w:r>
          </w:p>
        </w:tc>
        <w:tc>
          <w:tcPr>
            <w:tcW w:w="3809" w:type="dxa"/>
            <w:shd w:val="clear" w:color="auto" w:fill="auto"/>
          </w:tcPr>
          <w:p w14:paraId="2059321B" w14:textId="0D129BD9" w:rsidR="00195149" w:rsidRPr="00195149" w:rsidRDefault="00195149" w:rsidP="001E2113">
            <w:pPr>
              <w:jc w:val="center"/>
              <w:rPr>
                <w:sz w:val="20"/>
                <w:szCs w:val="20"/>
              </w:rPr>
            </w:pPr>
            <w:r w:rsidRPr="00195149">
              <w:rPr>
                <w:sz w:val="20"/>
                <w:szCs w:val="20"/>
              </w:rPr>
              <w:t>1.0</w:t>
            </w:r>
            <w:r w:rsidR="00531591">
              <w:rPr>
                <w:sz w:val="20"/>
                <w:szCs w:val="20"/>
              </w:rPr>
              <w:t>7</w:t>
            </w:r>
            <w:r w:rsidRPr="00195149">
              <w:rPr>
                <w:sz w:val="20"/>
                <w:szCs w:val="20"/>
              </w:rPr>
              <w:t xml:space="preserve"> per unit of nominal voltage</w:t>
            </w:r>
          </w:p>
        </w:tc>
      </w:tr>
      <w:tr w:rsidR="00195149" w:rsidRPr="00195149" w14:paraId="7B8AF846" w14:textId="77777777" w:rsidTr="001E2113">
        <w:trPr>
          <w:trHeight w:val="274"/>
          <w:jc w:val="center"/>
        </w:trPr>
        <w:tc>
          <w:tcPr>
            <w:tcW w:w="3799" w:type="dxa"/>
            <w:shd w:val="clear" w:color="auto" w:fill="auto"/>
          </w:tcPr>
          <w:p w14:paraId="7BB2B917" w14:textId="77777777" w:rsidR="00195149" w:rsidRPr="00195149" w:rsidRDefault="00195149" w:rsidP="001E2113">
            <w:pPr>
              <w:autoSpaceDE w:val="0"/>
              <w:autoSpaceDN w:val="0"/>
              <w:adjustRightInd w:val="0"/>
              <w:jc w:val="center"/>
              <w:rPr>
                <w:rFonts w:cs="Arial"/>
                <w:sz w:val="20"/>
                <w:szCs w:val="20"/>
              </w:rPr>
            </w:pPr>
            <w:r w:rsidRPr="00195149">
              <w:rPr>
                <w:rFonts w:cs="Arial"/>
                <w:sz w:val="20"/>
                <w:szCs w:val="20"/>
              </w:rPr>
              <w:t>P1</w:t>
            </w:r>
          </w:p>
        </w:tc>
        <w:tc>
          <w:tcPr>
            <w:tcW w:w="3809" w:type="dxa"/>
            <w:shd w:val="clear" w:color="auto" w:fill="auto"/>
          </w:tcPr>
          <w:p w14:paraId="1273B247" w14:textId="77777777" w:rsidR="00195149" w:rsidRPr="00195149" w:rsidRDefault="00195149" w:rsidP="001E2113">
            <w:pPr>
              <w:jc w:val="center"/>
              <w:rPr>
                <w:sz w:val="20"/>
                <w:szCs w:val="20"/>
              </w:rPr>
            </w:pPr>
            <w:r w:rsidRPr="00195149">
              <w:rPr>
                <w:sz w:val="20"/>
                <w:szCs w:val="20"/>
              </w:rPr>
              <w:t>Prated</w:t>
            </w:r>
          </w:p>
        </w:tc>
      </w:tr>
      <w:tr w:rsidR="00195149" w:rsidRPr="00195149" w14:paraId="1501515C" w14:textId="77777777" w:rsidTr="001E2113">
        <w:trPr>
          <w:trHeight w:val="299"/>
          <w:jc w:val="center"/>
        </w:trPr>
        <w:tc>
          <w:tcPr>
            <w:tcW w:w="3799" w:type="dxa"/>
            <w:shd w:val="clear" w:color="auto" w:fill="auto"/>
          </w:tcPr>
          <w:p w14:paraId="1D639543" w14:textId="77777777" w:rsidR="00195149" w:rsidRPr="00195149" w:rsidRDefault="00195149" w:rsidP="001E2113">
            <w:pPr>
              <w:autoSpaceDE w:val="0"/>
              <w:autoSpaceDN w:val="0"/>
              <w:adjustRightInd w:val="0"/>
              <w:jc w:val="center"/>
              <w:rPr>
                <w:rFonts w:cs="Arial"/>
                <w:sz w:val="20"/>
                <w:szCs w:val="20"/>
              </w:rPr>
            </w:pPr>
            <w:r w:rsidRPr="00195149">
              <w:rPr>
                <w:rFonts w:cs="Arial"/>
                <w:sz w:val="20"/>
                <w:szCs w:val="20"/>
              </w:rPr>
              <w:t>V2</w:t>
            </w:r>
          </w:p>
        </w:tc>
        <w:tc>
          <w:tcPr>
            <w:tcW w:w="3809" w:type="dxa"/>
            <w:shd w:val="clear" w:color="auto" w:fill="auto"/>
          </w:tcPr>
          <w:p w14:paraId="1061DA53" w14:textId="77777777" w:rsidR="00195149" w:rsidRPr="00195149" w:rsidRDefault="00195149" w:rsidP="001E2113">
            <w:pPr>
              <w:jc w:val="center"/>
              <w:rPr>
                <w:sz w:val="20"/>
                <w:szCs w:val="20"/>
              </w:rPr>
            </w:pPr>
            <w:r w:rsidRPr="00195149">
              <w:rPr>
                <w:sz w:val="20"/>
                <w:szCs w:val="20"/>
              </w:rPr>
              <w:t>1.10 per unit of nominal voltage</w:t>
            </w:r>
          </w:p>
        </w:tc>
      </w:tr>
      <w:tr w:rsidR="00195149" w:rsidRPr="00195149" w14:paraId="2DCED430" w14:textId="77777777" w:rsidTr="001E2113">
        <w:trPr>
          <w:trHeight w:val="274"/>
          <w:jc w:val="center"/>
        </w:trPr>
        <w:tc>
          <w:tcPr>
            <w:tcW w:w="3799" w:type="dxa"/>
            <w:shd w:val="clear" w:color="auto" w:fill="auto"/>
          </w:tcPr>
          <w:p w14:paraId="6E9AFA87" w14:textId="77777777" w:rsidR="00195149" w:rsidRPr="00195149" w:rsidRDefault="00195149" w:rsidP="001E2113">
            <w:pPr>
              <w:autoSpaceDE w:val="0"/>
              <w:autoSpaceDN w:val="0"/>
              <w:adjustRightInd w:val="0"/>
              <w:jc w:val="center"/>
              <w:rPr>
                <w:sz w:val="20"/>
                <w:szCs w:val="20"/>
              </w:rPr>
            </w:pPr>
            <w:r w:rsidRPr="00195149">
              <w:rPr>
                <w:sz w:val="20"/>
                <w:szCs w:val="20"/>
              </w:rPr>
              <w:t>P2</w:t>
            </w:r>
          </w:p>
        </w:tc>
        <w:tc>
          <w:tcPr>
            <w:tcW w:w="3809" w:type="dxa"/>
            <w:shd w:val="clear" w:color="auto" w:fill="auto"/>
          </w:tcPr>
          <w:p w14:paraId="4A8A1184" w14:textId="77777777" w:rsidR="00195149" w:rsidRPr="00195149" w:rsidRDefault="00195149" w:rsidP="001E2113">
            <w:pPr>
              <w:jc w:val="center"/>
              <w:rPr>
                <w:sz w:val="20"/>
                <w:szCs w:val="20"/>
              </w:rPr>
            </w:pPr>
            <w:r w:rsidRPr="00195149">
              <w:rPr>
                <w:sz w:val="20"/>
                <w:szCs w:val="20"/>
              </w:rPr>
              <w:t>The lesser of 0.2 Prated or Pmin</w:t>
            </w:r>
          </w:p>
        </w:tc>
      </w:tr>
      <w:tr w:rsidR="00195149" w:rsidRPr="00195149" w14:paraId="2F8D6C3E" w14:textId="77777777" w:rsidTr="001E2113">
        <w:trPr>
          <w:trHeight w:val="274"/>
          <w:jc w:val="center"/>
        </w:trPr>
        <w:tc>
          <w:tcPr>
            <w:tcW w:w="3799" w:type="dxa"/>
            <w:shd w:val="clear" w:color="auto" w:fill="auto"/>
          </w:tcPr>
          <w:p w14:paraId="72AF0A1B" w14:textId="77777777" w:rsidR="00195149" w:rsidRPr="00195149" w:rsidRDefault="00195149" w:rsidP="001E2113">
            <w:pPr>
              <w:autoSpaceDE w:val="0"/>
              <w:autoSpaceDN w:val="0"/>
              <w:adjustRightInd w:val="0"/>
              <w:jc w:val="center"/>
              <w:rPr>
                <w:rFonts w:cs="Arial"/>
                <w:sz w:val="20"/>
                <w:szCs w:val="20"/>
              </w:rPr>
            </w:pPr>
            <w:r w:rsidRPr="00195149">
              <w:rPr>
                <w:rFonts w:cs="Arial"/>
                <w:sz w:val="20"/>
                <w:szCs w:val="20"/>
              </w:rPr>
              <w:t>P”2 (absorption, storage only)</w:t>
            </w:r>
          </w:p>
        </w:tc>
        <w:tc>
          <w:tcPr>
            <w:tcW w:w="3809" w:type="dxa"/>
            <w:shd w:val="clear" w:color="auto" w:fill="auto"/>
          </w:tcPr>
          <w:p w14:paraId="40239163" w14:textId="77777777" w:rsidR="00195149" w:rsidRPr="00195149" w:rsidRDefault="00195149" w:rsidP="001E2113">
            <w:pPr>
              <w:jc w:val="center"/>
              <w:rPr>
                <w:sz w:val="20"/>
                <w:szCs w:val="20"/>
              </w:rPr>
            </w:pPr>
            <w:r w:rsidRPr="00195149">
              <w:rPr>
                <w:sz w:val="20"/>
                <w:szCs w:val="20"/>
              </w:rPr>
              <w:t>0</w:t>
            </w:r>
          </w:p>
        </w:tc>
      </w:tr>
      <w:tr w:rsidR="00195149" w:rsidRPr="00195149" w14:paraId="01A38566" w14:textId="77777777" w:rsidTr="001E2113">
        <w:trPr>
          <w:trHeight w:val="274"/>
          <w:jc w:val="center"/>
        </w:trPr>
        <w:tc>
          <w:tcPr>
            <w:tcW w:w="3799" w:type="dxa"/>
            <w:shd w:val="clear" w:color="auto" w:fill="auto"/>
            <w:vAlign w:val="center"/>
          </w:tcPr>
          <w:p w14:paraId="5F7E41DD" w14:textId="77777777" w:rsidR="00195149" w:rsidRPr="00195149" w:rsidRDefault="00195149" w:rsidP="001E2113">
            <w:pPr>
              <w:autoSpaceDE w:val="0"/>
              <w:autoSpaceDN w:val="0"/>
              <w:adjustRightInd w:val="0"/>
              <w:jc w:val="center"/>
              <w:rPr>
                <w:rFonts w:cs="Arial"/>
                <w:sz w:val="20"/>
                <w:szCs w:val="20"/>
              </w:rPr>
            </w:pPr>
            <w:r w:rsidRPr="00195149">
              <w:rPr>
                <w:rFonts w:cs="Arial"/>
                <w:sz w:val="20"/>
                <w:szCs w:val="20"/>
              </w:rPr>
              <w:t>Open Loop Response Time</w:t>
            </w:r>
          </w:p>
        </w:tc>
        <w:tc>
          <w:tcPr>
            <w:tcW w:w="3809" w:type="dxa"/>
            <w:shd w:val="clear" w:color="auto" w:fill="auto"/>
          </w:tcPr>
          <w:p w14:paraId="09B1B619" w14:textId="77777777" w:rsidR="00195149" w:rsidRPr="00195149" w:rsidRDefault="00195149" w:rsidP="001E2113">
            <w:pPr>
              <w:jc w:val="center"/>
              <w:rPr>
                <w:sz w:val="20"/>
                <w:szCs w:val="20"/>
              </w:rPr>
            </w:pPr>
            <w:r w:rsidRPr="00195149">
              <w:rPr>
                <w:sz w:val="20"/>
                <w:szCs w:val="20"/>
              </w:rPr>
              <w:t>10s</w:t>
            </w:r>
          </w:p>
        </w:tc>
      </w:tr>
    </w:tbl>
    <w:p w14:paraId="794142E3" w14:textId="1AED1044" w:rsidR="00195149" w:rsidRDefault="00195149" w:rsidP="00195149">
      <w:pPr>
        <w:spacing w:before="60"/>
        <w:ind w:left="720"/>
      </w:pPr>
      <w:r w:rsidRPr="00195149">
        <w:t>Unless otherwise specified by the Company, Volt-</w:t>
      </w:r>
      <w:r w:rsidR="00A47230">
        <w:t>WATT</w:t>
      </w:r>
      <w:r w:rsidRPr="00195149">
        <w:t xml:space="preserve"> shall be disabled by default. Otherwise, the default settings for Volt-W</w:t>
      </w:r>
      <w:r w:rsidR="00A47230">
        <w:t>ATT</w:t>
      </w:r>
      <w:r w:rsidRPr="00195149">
        <w:t xml:space="preserve"> are required to have setting ranges according to the following table </w:t>
      </w:r>
      <w:r w:rsidR="00A47230">
        <w:t>above</w:t>
      </w:r>
      <w:r w:rsidRPr="00195149">
        <w:t>. Settings other than the default, within the ranges in IEEE 1547, may be acceptable on a case-by-case basis and are subject to review and approval by the Company.</w:t>
      </w:r>
    </w:p>
    <w:p w14:paraId="1395D334" w14:textId="75D424D7" w:rsidR="005C437E" w:rsidRDefault="005C437E" w:rsidP="00195149">
      <w:pPr>
        <w:spacing w:before="60"/>
        <w:ind w:left="720"/>
      </w:pPr>
    </w:p>
    <w:p w14:paraId="2746C5F5" w14:textId="508A338C" w:rsidR="00133F67" w:rsidRPr="00685531" w:rsidRDefault="00133F67" w:rsidP="00685531">
      <w:pPr>
        <w:pStyle w:val="Heading3"/>
        <w:ind w:left="720"/>
        <w:jc w:val="center"/>
        <w:rPr>
          <w:i/>
          <w:iCs/>
          <w:sz w:val="22"/>
          <w:szCs w:val="22"/>
        </w:rPr>
      </w:pPr>
      <w:bookmarkStart w:id="30" w:name="_Toc117155176"/>
      <w:bookmarkStart w:id="31" w:name="_Toc117155603"/>
      <w:bookmarkStart w:id="32" w:name="_Toc117158901"/>
      <w:bookmarkStart w:id="33" w:name="_Toc117173133"/>
      <w:bookmarkStart w:id="34" w:name="_Toc117174448"/>
      <w:bookmarkStart w:id="35" w:name="_Toc117232879"/>
      <w:bookmarkStart w:id="36" w:name="_Toc119507000"/>
      <w:bookmarkStart w:id="37" w:name="_Toc119664114"/>
      <w:bookmarkStart w:id="38" w:name="_Toc119664621"/>
      <w:bookmarkStart w:id="39" w:name="_Toc120611282"/>
      <w:r w:rsidRPr="00685531">
        <w:rPr>
          <w:i/>
          <w:iCs/>
          <w:sz w:val="22"/>
          <w:szCs w:val="22"/>
        </w:rPr>
        <w:t>Default Frequency-Watt Settings for DER UL1741SB Certified Inverters</w:t>
      </w:r>
      <w:bookmarkEnd w:id="30"/>
      <w:bookmarkEnd w:id="31"/>
      <w:bookmarkEnd w:id="32"/>
      <w:bookmarkEnd w:id="33"/>
      <w:bookmarkEnd w:id="34"/>
      <w:bookmarkEnd w:id="35"/>
      <w:bookmarkEnd w:id="36"/>
      <w:bookmarkEnd w:id="37"/>
      <w:bookmarkEnd w:id="38"/>
      <w:bookmarkEnd w:id="39"/>
    </w:p>
    <w:tbl>
      <w:tblPr>
        <w:tblStyle w:val="TableGrid"/>
        <w:tblW w:w="9080" w:type="dxa"/>
        <w:jc w:val="center"/>
        <w:tblLayout w:type="fixed"/>
        <w:tblLook w:val="06A0" w:firstRow="1" w:lastRow="0" w:firstColumn="1" w:lastColumn="0" w:noHBand="1" w:noVBand="1"/>
      </w:tblPr>
      <w:tblGrid>
        <w:gridCol w:w="3089"/>
        <w:gridCol w:w="1346"/>
        <w:gridCol w:w="2322"/>
        <w:gridCol w:w="2323"/>
      </w:tblGrid>
      <w:tr w:rsidR="00133F67" w:rsidRPr="00685531" w14:paraId="514A1409" w14:textId="77777777" w:rsidTr="00685531">
        <w:trPr>
          <w:trHeight w:val="532"/>
          <w:jc w:val="center"/>
        </w:trPr>
        <w:tc>
          <w:tcPr>
            <w:tcW w:w="4435" w:type="dxa"/>
            <w:gridSpan w:val="2"/>
            <w:shd w:val="clear" w:color="auto" w:fill="EDEDED" w:themeFill="accent3" w:themeFillTint="33"/>
          </w:tcPr>
          <w:p w14:paraId="61250FA2" w14:textId="77777777" w:rsidR="00133F67" w:rsidRPr="00685531" w:rsidRDefault="00133F67" w:rsidP="00685531">
            <w:pPr>
              <w:jc w:val="center"/>
              <w:rPr>
                <w:rFonts w:eastAsiaTheme="minorHAnsi"/>
                <w:b/>
              </w:rPr>
            </w:pPr>
            <w:r w:rsidRPr="00685531">
              <w:rPr>
                <w:rFonts w:eastAsiaTheme="minorHAnsi"/>
                <w:b/>
              </w:rPr>
              <w:t>Required Default Settings</w:t>
            </w:r>
          </w:p>
        </w:tc>
        <w:tc>
          <w:tcPr>
            <w:tcW w:w="4645" w:type="dxa"/>
            <w:gridSpan w:val="2"/>
            <w:shd w:val="clear" w:color="auto" w:fill="EDEDED" w:themeFill="accent3" w:themeFillTint="33"/>
          </w:tcPr>
          <w:p w14:paraId="65D5AC91" w14:textId="77777777" w:rsidR="00133F67" w:rsidRPr="00685531" w:rsidRDefault="00133F67" w:rsidP="00685531">
            <w:pPr>
              <w:jc w:val="center"/>
              <w:rPr>
                <w:rFonts w:eastAsiaTheme="minorHAnsi"/>
                <w:b/>
              </w:rPr>
            </w:pPr>
            <w:r w:rsidRPr="00685531">
              <w:rPr>
                <w:rFonts w:eastAsiaTheme="minorHAnsi"/>
                <w:b/>
              </w:rPr>
              <w:t>Comparison to IEEE Std. 1547-2018 Default Settings for Category III</w:t>
            </w:r>
          </w:p>
        </w:tc>
      </w:tr>
      <w:tr w:rsidR="00133F67" w:rsidRPr="00685531" w14:paraId="0B8F57AF" w14:textId="77777777" w:rsidTr="00685531">
        <w:trPr>
          <w:trHeight w:val="467"/>
          <w:jc w:val="center"/>
        </w:trPr>
        <w:tc>
          <w:tcPr>
            <w:tcW w:w="3089" w:type="dxa"/>
            <w:shd w:val="clear" w:color="auto" w:fill="EDEDED" w:themeFill="accent3" w:themeFillTint="33"/>
          </w:tcPr>
          <w:p w14:paraId="21EF838C" w14:textId="77777777" w:rsidR="00133F67" w:rsidRPr="00685531" w:rsidRDefault="00133F67" w:rsidP="00685531">
            <w:pPr>
              <w:jc w:val="center"/>
              <w:rPr>
                <w:rFonts w:eastAsiaTheme="minorHAnsi"/>
                <w:b/>
              </w:rPr>
            </w:pPr>
            <w:r w:rsidRPr="00685531">
              <w:rPr>
                <w:rFonts w:eastAsiaTheme="minorHAnsi"/>
                <w:b/>
              </w:rPr>
              <w:t>Parameter</w:t>
            </w:r>
          </w:p>
        </w:tc>
        <w:tc>
          <w:tcPr>
            <w:tcW w:w="1346" w:type="dxa"/>
            <w:shd w:val="clear" w:color="auto" w:fill="EDEDED" w:themeFill="accent3" w:themeFillTint="33"/>
          </w:tcPr>
          <w:p w14:paraId="7C96695F" w14:textId="77777777" w:rsidR="00133F67" w:rsidRPr="00685531" w:rsidRDefault="00133F67" w:rsidP="00685531">
            <w:pPr>
              <w:jc w:val="center"/>
              <w:rPr>
                <w:rFonts w:eastAsiaTheme="minorHAnsi"/>
                <w:b/>
              </w:rPr>
            </w:pPr>
            <w:r w:rsidRPr="00685531">
              <w:rPr>
                <w:rFonts w:eastAsiaTheme="minorHAnsi"/>
                <w:b/>
              </w:rPr>
              <w:t>Settings</w:t>
            </w:r>
          </w:p>
        </w:tc>
        <w:tc>
          <w:tcPr>
            <w:tcW w:w="2322" w:type="dxa"/>
            <w:shd w:val="clear" w:color="auto" w:fill="EDEDED" w:themeFill="accent3" w:themeFillTint="33"/>
          </w:tcPr>
          <w:p w14:paraId="315567B6" w14:textId="77777777" w:rsidR="00133F67" w:rsidRPr="00685531" w:rsidRDefault="00133F67" w:rsidP="00685531">
            <w:pPr>
              <w:jc w:val="center"/>
              <w:rPr>
                <w:rFonts w:eastAsiaTheme="minorHAnsi"/>
                <w:b/>
              </w:rPr>
            </w:pPr>
            <w:r w:rsidRPr="00685531">
              <w:rPr>
                <w:rFonts w:eastAsiaTheme="minorHAnsi"/>
                <w:b/>
              </w:rPr>
              <w:t>Settings</w:t>
            </w:r>
          </w:p>
        </w:tc>
        <w:tc>
          <w:tcPr>
            <w:tcW w:w="2322" w:type="dxa"/>
            <w:shd w:val="clear" w:color="auto" w:fill="EDEDED" w:themeFill="accent3" w:themeFillTint="33"/>
          </w:tcPr>
          <w:p w14:paraId="347870E2" w14:textId="77777777" w:rsidR="00133F67" w:rsidRPr="00685531" w:rsidRDefault="00133F67" w:rsidP="00685531">
            <w:pPr>
              <w:jc w:val="center"/>
              <w:rPr>
                <w:rFonts w:eastAsiaTheme="minorHAnsi"/>
                <w:b/>
              </w:rPr>
            </w:pPr>
            <w:r w:rsidRPr="00685531">
              <w:rPr>
                <w:rFonts w:eastAsiaTheme="minorHAnsi"/>
                <w:b/>
              </w:rPr>
              <w:t>Within ranges of allowable settings?</w:t>
            </w:r>
          </w:p>
        </w:tc>
      </w:tr>
      <w:tr w:rsidR="00133F67" w:rsidRPr="00685531" w14:paraId="5993746B" w14:textId="77777777" w:rsidTr="001E2113">
        <w:trPr>
          <w:trHeight w:val="233"/>
          <w:jc w:val="center"/>
        </w:trPr>
        <w:tc>
          <w:tcPr>
            <w:tcW w:w="3089" w:type="dxa"/>
            <w:vAlign w:val="center"/>
          </w:tcPr>
          <w:p w14:paraId="1523964A" w14:textId="77777777" w:rsidR="00133F67" w:rsidRPr="00685531" w:rsidRDefault="00133F67" w:rsidP="001E2113">
            <w:pPr>
              <w:jc w:val="center"/>
              <w:rPr>
                <w:rFonts w:eastAsiaTheme="minorHAnsi"/>
              </w:rPr>
            </w:pPr>
            <w:r w:rsidRPr="00685531">
              <w:rPr>
                <w:rFonts w:eastAsiaTheme="minorHAnsi"/>
              </w:rPr>
              <w:t>dbOF, dbUF (Hz)</w:t>
            </w:r>
          </w:p>
        </w:tc>
        <w:tc>
          <w:tcPr>
            <w:tcW w:w="1346" w:type="dxa"/>
            <w:vAlign w:val="center"/>
          </w:tcPr>
          <w:p w14:paraId="114953D3" w14:textId="77777777" w:rsidR="00133F67" w:rsidRPr="00685531" w:rsidRDefault="00133F67" w:rsidP="001E2113">
            <w:pPr>
              <w:jc w:val="center"/>
              <w:rPr>
                <w:rFonts w:eastAsiaTheme="minorHAnsi"/>
              </w:rPr>
            </w:pPr>
            <w:r w:rsidRPr="00685531">
              <w:rPr>
                <w:rFonts w:eastAsiaTheme="minorHAnsi"/>
              </w:rPr>
              <w:t>0.036</w:t>
            </w:r>
          </w:p>
        </w:tc>
        <w:tc>
          <w:tcPr>
            <w:tcW w:w="2322" w:type="dxa"/>
            <w:vAlign w:val="center"/>
          </w:tcPr>
          <w:p w14:paraId="45218F4F" w14:textId="77777777" w:rsidR="00133F67" w:rsidRPr="00685531" w:rsidRDefault="00133F67" w:rsidP="001E2113">
            <w:pPr>
              <w:pStyle w:val="ListParagraph"/>
              <w:rPr>
                <w:rFonts w:ascii="Calibri" w:eastAsiaTheme="minorHAnsi" w:hAnsi="Calibri" w:cs="Calibri"/>
              </w:rPr>
            </w:pPr>
            <w:r w:rsidRPr="00685531">
              <w:rPr>
                <w:rFonts w:ascii="Calibri" w:eastAsiaTheme="minorHAnsi" w:hAnsi="Calibri" w:cs="Calibri"/>
              </w:rPr>
              <w:t>Identical</w:t>
            </w:r>
          </w:p>
        </w:tc>
        <w:tc>
          <w:tcPr>
            <w:tcW w:w="2322" w:type="dxa"/>
            <w:vAlign w:val="center"/>
          </w:tcPr>
          <w:p w14:paraId="33839261" w14:textId="77777777" w:rsidR="00133F67" w:rsidRPr="00685531" w:rsidRDefault="00133F67" w:rsidP="001E2113">
            <w:pPr>
              <w:pStyle w:val="ListParagraph"/>
              <w:rPr>
                <w:rFonts w:ascii="Calibri" w:eastAsiaTheme="minorHAnsi" w:hAnsi="Calibri" w:cs="Calibri"/>
              </w:rPr>
            </w:pPr>
            <w:r w:rsidRPr="00685531">
              <w:rPr>
                <w:rFonts w:ascii="Calibri" w:eastAsiaTheme="minorHAnsi" w:hAnsi="Calibri" w:cs="Calibri"/>
              </w:rPr>
              <w:t>Yes</w:t>
            </w:r>
          </w:p>
        </w:tc>
      </w:tr>
      <w:tr w:rsidR="00133F67" w:rsidRPr="00685531" w14:paraId="7DB5FD17" w14:textId="77777777" w:rsidTr="001E2113">
        <w:trPr>
          <w:trHeight w:val="340"/>
          <w:jc w:val="center"/>
        </w:trPr>
        <w:tc>
          <w:tcPr>
            <w:tcW w:w="3089" w:type="dxa"/>
            <w:vAlign w:val="center"/>
          </w:tcPr>
          <w:p w14:paraId="08E61D44" w14:textId="77777777" w:rsidR="00133F67" w:rsidRPr="00685531" w:rsidRDefault="00133F67" w:rsidP="001E2113">
            <w:pPr>
              <w:jc w:val="center"/>
              <w:rPr>
                <w:rFonts w:eastAsiaTheme="minorHAnsi"/>
              </w:rPr>
            </w:pPr>
            <w:r w:rsidRPr="00685531">
              <w:rPr>
                <w:rFonts w:eastAsiaTheme="minorHAnsi"/>
              </w:rPr>
              <w:t>kOF, kUF</w:t>
            </w:r>
          </w:p>
        </w:tc>
        <w:tc>
          <w:tcPr>
            <w:tcW w:w="1346" w:type="dxa"/>
            <w:vAlign w:val="center"/>
          </w:tcPr>
          <w:p w14:paraId="7EFD7EDC" w14:textId="77777777" w:rsidR="00133F67" w:rsidRPr="00685531" w:rsidRDefault="00133F67" w:rsidP="001E2113">
            <w:pPr>
              <w:jc w:val="center"/>
              <w:rPr>
                <w:rFonts w:eastAsiaTheme="minorHAnsi"/>
              </w:rPr>
            </w:pPr>
            <w:r w:rsidRPr="00685531">
              <w:rPr>
                <w:rFonts w:eastAsiaTheme="minorHAnsi"/>
              </w:rPr>
              <w:t>0.05</w:t>
            </w:r>
          </w:p>
        </w:tc>
        <w:tc>
          <w:tcPr>
            <w:tcW w:w="2322" w:type="dxa"/>
            <w:vAlign w:val="center"/>
          </w:tcPr>
          <w:p w14:paraId="5DF8B0DC" w14:textId="77777777" w:rsidR="00133F67" w:rsidRPr="00685531" w:rsidRDefault="00133F67" w:rsidP="001E2113">
            <w:pPr>
              <w:pStyle w:val="ListParagraph"/>
              <w:rPr>
                <w:rFonts w:ascii="Calibri" w:eastAsiaTheme="minorHAnsi" w:hAnsi="Calibri" w:cs="Calibri"/>
              </w:rPr>
            </w:pPr>
            <w:r w:rsidRPr="00685531">
              <w:rPr>
                <w:rFonts w:ascii="Calibri" w:eastAsiaTheme="minorHAnsi" w:hAnsi="Calibri" w:cs="Calibri"/>
              </w:rPr>
              <w:t>Identical</w:t>
            </w:r>
          </w:p>
        </w:tc>
        <w:tc>
          <w:tcPr>
            <w:tcW w:w="2322" w:type="dxa"/>
            <w:vAlign w:val="center"/>
          </w:tcPr>
          <w:p w14:paraId="28A5DA57" w14:textId="77777777" w:rsidR="00133F67" w:rsidRPr="00685531" w:rsidRDefault="00133F67" w:rsidP="001E2113">
            <w:pPr>
              <w:pStyle w:val="ListParagraph"/>
              <w:rPr>
                <w:rFonts w:ascii="Calibri" w:eastAsiaTheme="minorHAnsi" w:hAnsi="Calibri" w:cs="Calibri"/>
              </w:rPr>
            </w:pPr>
            <w:r w:rsidRPr="00685531">
              <w:rPr>
                <w:rFonts w:ascii="Calibri" w:eastAsiaTheme="minorHAnsi" w:hAnsi="Calibri" w:cs="Calibri"/>
              </w:rPr>
              <w:t>Yes</w:t>
            </w:r>
          </w:p>
        </w:tc>
      </w:tr>
      <w:tr w:rsidR="00133F67" w:rsidRPr="00685531" w14:paraId="15A2E728" w14:textId="77777777" w:rsidTr="001E2113">
        <w:trPr>
          <w:trHeight w:val="233"/>
          <w:jc w:val="center"/>
        </w:trPr>
        <w:tc>
          <w:tcPr>
            <w:tcW w:w="3089" w:type="dxa"/>
            <w:vAlign w:val="center"/>
          </w:tcPr>
          <w:p w14:paraId="49BB521E" w14:textId="77777777" w:rsidR="00133F67" w:rsidRPr="00685531" w:rsidRDefault="00133F67" w:rsidP="001E2113">
            <w:pPr>
              <w:jc w:val="center"/>
              <w:rPr>
                <w:rFonts w:eastAsiaTheme="minorHAnsi"/>
              </w:rPr>
            </w:pPr>
            <w:r w:rsidRPr="00685531">
              <w:rPr>
                <w:rFonts w:eastAsiaTheme="minorHAnsi"/>
              </w:rPr>
              <w:t>T-response (small-signal) (s)</w:t>
            </w:r>
          </w:p>
        </w:tc>
        <w:tc>
          <w:tcPr>
            <w:tcW w:w="1346" w:type="dxa"/>
            <w:vAlign w:val="center"/>
          </w:tcPr>
          <w:p w14:paraId="324A1EFE" w14:textId="77777777" w:rsidR="00133F67" w:rsidRPr="00685531" w:rsidRDefault="00133F67" w:rsidP="001E2113">
            <w:pPr>
              <w:jc w:val="center"/>
              <w:rPr>
                <w:rFonts w:eastAsiaTheme="minorHAnsi"/>
              </w:rPr>
            </w:pPr>
            <w:r w:rsidRPr="00685531">
              <w:rPr>
                <w:rFonts w:eastAsiaTheme="minorHAnsi"/>
              </w:rPr>
              <w:t>5</w:t>
            </w:r>
          </w:p>
        </w:tc>
        <w:tc>
          <w:tcPr>
            <w:tcW w:w="2322" w:type="dxa"/>
            <w:vAlign w:val="center"/>
          </w:tcPr>
          <w:p w14:paraId="6093C4CC" w14:textId="77777777" w:rsidR="00133F67" w:rsidRPr="00685531" w:rsidRDefault="00133F67" w:rsidP="001E2113">
            <w:pPr>
              <w:pStyle w:val="ListParagraph"/>
              <w:rPr>
                <w:rFonts w:ascii="Calibri" w:eastAsiaTheme="minorHAnsi" w:hAnsi="Calibri" w:cs="Calibri"/>
              </w:rPr>
            </w:pPr>
            <w:r w:rsidRPr="00685531">
              <w:rPr>
                <w:rFonts w:ascii="Calibri" w:eastAsiaTheme="minorHAnsi" w:hAnsi="Calibri" w:cs="Calibri"/>
              </w:rPr>
              <w:t>Identical</w:t>
            </w:r>
          </w:p>
        </w:tc>
        <w:tc>
          <w:tcPr>
            <w:tcW w:w="2322" w:type="dxa"/>
            <w:vAlign w:val="center"/>
          </w:tcPr>
          <w:p w14:paraId="1FF1ADBD" w14:textId="77777777" w:rsidR="00133F67" w:rsidRPr="00685531" w:rsidRDefault="00133F67" w:rsidP="001E2113">
            <w:pPr>
              <w:pStyle w:val="ListParagraph"/>
              <w:rPr>
                <w:rFonts w:ascii="Calibri" w:eastAsiaTheme="minorHAnsi" w:hAnsi="Calibri" w:cs="Calibri"/>
              </w:rPr>
            </w:pPr>
            <w:r w:rsidRPr="00685531">
              <w:rPr>
                <w:rFonts w:ascii="Calibri" w:eastAsiaTheme="minorHAnsi" w:hAnsi="Calibri" w:cs="Calibri"/>
              </w:rPr>
              <w:t>Yes</w:t>
            </w:r>
          </w:p>
        </w:tc>
      </w:tr>
    </w:tbl>
    <w:p w14:paraId="669639B9" w14:textId="77777777" w:rsidR="005C437E" w:rsidRPr="00195149" w:rsidRDefault="005C437E" w:rsidP="00195149">
      <w:pPr>
        <w:spacing w:before="60"/>
        <w:ind w:left="720"/>
      </w:pPr>
    </w:p>
    <w:p w14:paraId="6129B886" w14:textId="78A5C0B5" w:rsidR="00195149" w:rsidRPr="00383391" w:rsidRDefault="00195149" w:rsidP="00195149">
      <w:pPr>
        <w:pStyle w:val="Heading3"/>
        <w:tabs>
          <w:tab w:val="num" w:pos="0"/>
        </w:tabs>
        <w:jc w:val="center"/>
        <w:rPr>
          <w:i/>
          <w:iCs/>
          <w:sz w:val="22"/>
          <w:szCs w:val="22"/>
        </w:rPr>
      </w:pPr>
      <w:bookmarkStart w:id="40" w:name="_Ref515643536"/>
      <w:bookmarkStart w:id="41" w:name="_Toc93661062"/>
      <w:bookmarkStart w:id="42" w:name="_Toc117155179"/>
      <w:bookmarkStart w:id="43" w:name="_Toc117155606"/>
      <w:bookmarkStart w:id="44" w:name="_Toc117158904"/>
      <w:bookmarkStart w:id="45" w:name="_Toc117173136"/>
      <w:bookmarkStart w:id="46" w:name="_Toc117174451"/>
      <w:bookmarkStart w:id="47" w:name="_Toc117232882"/>
      <w:bookmarkStart w:id="48" w:name="_Toc119507003"/>
      <w:bookmarkStart w:id="49" w:name="_Toc119664117"/>
      <w:bookmarkStart w:id="50" w:name="_Toc119664624"/>
      <w:bookmarkStart w:id="51" w:name="_Toc120611285"/>
      <w:r w:rsidRPr="00C34A53">
        <w:rPr>
          <w:i/>
          <w:iCs/>
          <w:sz w:val="22"/>
          <w:szCs w:val="22"/>
        </w:rPr>
        <w:t>Return to Service Parameters for DER</w:t>
      </w:r>
      <w:bookmarkEnd w:id="40"/>
      <w:bookmarkEnd w:id="41"/>
      <w:bookmarkEnd w:id="42"/>
      <w:bookmarkEnd w:id="43"/>
      <w:bookmarkEnd w:id="44"/>
      <w:bookmarkEnd w:id="45"/>
      <w:bookmarkEnd w:id="46"/>
      <w:bookmarkEnd w:id="47"/>
      <w:bookmarkEnd w:id="48"/>
      <w:bookmarkEnd w:id="49"/>
      <w:bookmarkEnd w:id="50"/>
      <w:bookmarkEnd w:id="51"/>
    </w:p>
    <w:tbl>
      <w:tblPr>
        <w:tblW w:w="53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48"/>
        <w:gridCol w:w="2880"/>
      </w:tblGrid>
      <w:tr w:rsidR="00195149" w14:paraId="0858A7D9" w14:textId="77777777" w:rsidTr="001E2113">
        <w:trPr>
          <w:trHeight w:val="395"/>
          <w:tblHeader/>
          <w:jc w:val="center"/>
        </w:trPr>
        <w:tc>
          <w:tcPr>
            <w:tcW w:w="2448" w:type="dxa"/>
            <w:tcBorders>
              <w:top w:val="single" w:sz="12" w:space="0" w:color="auto"/>
              <w:left w:val="single" w:sz="12" w:space="0" w:color="auto"/>
              <w:bottom w:val="double" w:sz="4" w:space="0" w:color="auto"/>
              <w:right w:val="single" w:sz="8" w:space="0" w:color="auto"/>
            </w:tcBorders>
            <w:shd w:val="clear" w:color="auto" w:fill="F3F3F3"/>
            <w:vAlign w:val="center"/>
            <w:hideMark/>
          </w:tcPr>
          <w:p w14:paraId="1898E23F" w14:textId="77777777" w:rsidR="00195149" w:rsidRDefault="00195149" w:rsidP="001E2113">
            <w:pPr>
              <w:jc w:val="center"/>
              <w:rPr>
                <w:b/>
                <w:sz w:val="20"/>
                <w:szCs w:val="20"/>
              </w:rPr>
            </w:pPr>
            <w:r>
              <w:rPr>
                <w:b/>
                <w:sz w:val="20"/>
                <w:szCs w:val="20"/>
              </w:rPr>
              <w:t>Utility Voltage Parameter</w:t>
            </w:r>
          </w:p>
        </w:tc>
        <w:tc>
          <w:tcPr>
            <w:tcW w:w="2880" w:type="dxa"/>
            <w:tcBorders>
              <w:top w:val="single" w:sz="12" w:space="0" w:color="auto"/>
              <w:left w:val="single" w:sz="8" w:space="0" w:color="auto"/>
              <w:bottom w:val="double" w:sz="4" w:space="0" w:color="auto"/>
              <w:right w:val="single" w:sz="8" w:space="0" w:color="auto"/>
            </w:tcBorders>
            <w:shd w:val="clear" w:color="auto" w:fill="F3F3F3"/>
            <w:vAlign w:val="center"/>
            <w:hideMark/>
          </w:tcPr>
          <w:p w14:paraId="3C2C3E23" w14:textId="77777777" w:rsidR="00195149" w:rsidRDefault="00195149" w:rsidP="001E2113">
            <w:pPr>
              <w:rPr>
                <w:b/>
                <w:sz w:val="20"/>
                <w:szCs w:val="20"/>
              </w:rPr>
            </w:pPr>
            <w:r>
              <w:rPr>
                <w:b/>
                <w:sz w:val="20"/>
                <w:szCs w:val="20"/>
              </w:rPr>
              <w:t>Default Value</w:t>
            </w:r>
          </w:p>
        </w:tc>
      </w:tr>
      <w:tr w:rsidR="00195149" w14:paraId="2BC81D85" w14:textId="77777777" w:rsidTr="001E2113">
        <w:trPr>
          <w:trHeight w:val="288"/>
          <w:jc w:val="center"/>
        </w:trPr>
        <w:tc>
          <w:tcPr>
            <w:tcW w:w="2448" w:type="dxa"/>
            <w:tcBorders>
              <w:top w:val="double" w:sz="4" w:space="0" w:color="auto"/>
              <w:left w:val="single" w:sz="12" w:space="0" w:color="auto"/>
              <w:bottom w:val="single" w:sz="4" w:space="0" w:color="auto"/>
              <w:right w:val="single" w:sz="4" w:space="0" w:color="auto"/>
            </w:tcBorders>
            <w:hideMark/>
          </w:tcPr>
          <w:p w14:paraId="4C2BEF39" w14:textId="77777777" w:rsidR="00195149" w:rsidRDefault="00195149" w:rsidP="001E2113">
            <w:pPr>
              <w:rPr>
                <w:sz w:val="20"/>
                <w:szCs w:val="20"/>
              </w:rPr>
            </w:pPr>
            <w:r>
              <w:rPr>
                <w:sz w:val="20"/>
                <w:szCs w:val="20"/>
              </w:rPr>
              <w:t>Minimum Return to Service Voltage:</w:t>
            </w:r>
          </w:p>
        </w:tc>
        <w:tc>
          <w:tcPr>
            <w:tcW w:w="2880" w:type="dxa"/>
            <w:tcBorders>
              <w:top w:val="double" w:sz="4" w:space="0" w:color="auto"/>
              <w:left w:val="single" w:sz="4" w:space="0" w:color="auto"/>
              <w:bottom w:val="single" w:sz="4" w:space="0" w:color="auto"/>
              <w:right w:val="single" w:sz="4" w:space="0" w:color="auto"/>
            </w:tcBorders>
            <w:hideMark/>
          </w:tcPr>
          <w:p w14:paraId="4C852ACF" w14:textId="77777777" w:rsidR="00195149" w:rsidRDefault="00195149" w:rsidP="001E2113">
            <w:pPr>
              <w:rPr>
                <w:sz w:val="20"/>
                <w:szCs w:val="20"/>
              </w:rPr>
            </w:pPr>
            <w:r>
              <w:rPr>
                <w:sz w:val="20"/>
                <w:szCs w:val="20"/>
              </w:rPr>
              <w:t>0.95 per unit of nominal voltage</w:t>
            </w:r>
          </w:p>
        </w:tc>
      </w:tr>
      <w:tr w:rsidR="00195149" w14:paraId="2320F744" w14:textId="77777777" w:rsidTr="001E2113">
        <w:trPr>
          <w:trHeight w:val="308"/>
          <w:jc w:val="center"/>
        </w:trPr>
        <w:tc>
          <w:tcPr>
            <w:tcW w:w="2448" w:type="dxa"/>
            <w:tcBorders>
              <w:top w:val="single" w:sz="4" w:space="0" w:color="auto"/>
              <w:left w:val="single" w:sz="12" w:space="0" w:color="auto"/>
              <w:bottom w:val="single" w:sz="4" w:space="0" w:color="auto"/>
              <w:right w:val="single" w:sz="4" w:space="0" w:color="auto"/>
            </w:tcBorders>
            <w:hideMark/>
          </w:tcPr>
          <w:p w14:paraId="37213462" w14:textId="77777777" w:rsidR="00195149" w:rsidRDefault="00195149" w:rsidP="001E2113">
            <w:pPr>
              <w:rPr>
                <w:sz w:val="20"/>
                <w:szCs w:val="20"/>
              </w:rPr>
            </w:pPr>
            <w:r>
              <w:rPr>
                <w:sz w:val="20"/>
                <w:szCs w:val="20"/>
              </w:rPr>
              <w:t>Maximum Return to Service Voltage:</w:t>
            </w:r>
          </w:p>
        </w:tc>
        <w:tc>
          <w:tcPr>
            <w:tcW w:w="2880" w:type="dxa"/>
            <w:tcBorders>
              <w:top w:val="single" w:sz="4" w:space="0" w:color="auto"/>
              <w:left w:val="single" w:sz="4" w:space="0" w:color="auto"/>
              <w:bottom w:val="single" w:sz="4" w:space="0" w:color="auto"/>
              <w:right w:val="single" w:sz="4" w:space="0" w:color="auto"/>
            </w:tcBorders>
            <w:hideMark/>
          </w:tcPr>
          <w:p w14:paraId="0FE36EDE" w14:textId="77777777" w:rsidR="00195149" w:rsidRDefault="00195149" w:rsidP="001E2113">
            <w:pPr>
              <w:rPr>
                <w:sz w:val="20"/>
                <w:szCs w:val="20"/>
              </w:rPr>
            </w:pPr>
            <w:r>
              <w:rPr>
                <w:sz w:val="20"/>
                <w:szCs w:val="20"/>
              </w:rPr>
              <w:t xml:space="preserve"> 1.05 per unit of nominal voltage</w:t>
            </w:r>
          </w:p>
        </w:tc>
      </w:tr>
      <w:tr w:rsidR="00195149" w14:paraId="16991AF7" w14:textId="77777777" w:rsidTr="001E2113">
        <w:trPr>
          <w:trHeight w:val="288"/>
          <w:jc w:val="center"/>
        </w:trPr>
        <w:tc>
          <w:tcPr>
            <w:tcW w:w="2448" w:type="dxa"/>
            <w:tcBorders>
              <w:top w:val="single" w:sz="4" w:space="0" w:color="auto"/>
              <w:left w:val="single" w:sz="12" w:space="0" w:color="auto"/>
              <w:bottom w:val="single" w:sz="4" w:space="0" w:color="auto"/>
              <w:right w:val="single" w:sz="4" w:space="0" w:color="auto"/>
            </w:tcBorders>
            <w:hideMark/>
          </w:tcPr>
          <w:p w14:paraId="42BAC385" w14:textId="77777777" w:rsidR="00195149" w:rsidRDefault="00195149" w:rsidP="001E2113">
            <w:pPr>
              <w:rPr>
                <w:sz w:val="20"/>
                <w:szCs w:val="20"/>
              </w:rPr>
            </w:pPr>
            <w:r>
              <w:rPr>
                <w:sz w:val="20"/>
                <w:szCs w:val="20"/>
              </w:rPr>
              <w:t>Minimum Return to Service Frequency:</w:t>
            </w:r>
          </w:p>
        </w:tc>
        <w:tc>
          <w:tcPr>
            <w:tcW w:w="2880" w:type="dxa"/>
            <w:tcBorders>
              <w:top w:val="single" w:sz="4" w:space="0" w:color="auto"/>
              <w:left w:val="single" w:sz="4" w:space="0" w:color="auto"/>
              <w:bottom w:val="single" w:sz="4" w:space="0" w:color="auto"/>
              <w:right w:val="single" w:sz="4" w:space="0" w:color="auto"/>
            </w:tcBorders>
            <w:hideMark/>
          </w:tcPr>
          <w:p w14:paraId="11EB9AAA" w14:textId="77777777" w:rsidR="00195149" w:rsidRDefault="00195149" w:rsidP="001E2113">
            <w:pPr>
              <w:rPr>
                <w:sz w:val="20"/>
                <w:szCs w:val="20"/>
              </w:rPr>
            </w:pPr>
            <w:r>
              <w:rPr>
                <w:sz w:val="20"/>
                <w:szCs w:val="20"/>
              </w:rPr>
              <w:t>59.5 Hz</w:t>
            </w:r>
          </w:p>
        </w:tc>
      </w:tr>
      <w:tr w:rsidR="00195149" w14:paraId="3A07DC37" w14:textId="77777777" w:rsidTr="001E2113">
        <w:trPr>
          <w:trHeight w:val="288"/>
          <w:jc w:val="center"/>
        </w:trPr>
        <w:tc>
          <w:tcPr>
            <w:tcW w:w="2448" w:type="dxa"/>
            <w:tcBorders>
              <w:top w:val="single" w:sz="4" w:space="0" w:color="auto"/>
              <w:left w:val="single" w:sz="12" w:space="0" w:color="auto"/>
              <w:bottom w:val="single" w:sz="4" w:space="0" w:color="auto"/>
              <w:right w:val="single" w:sz="4" w:space="0" w:color="auto"/>
            </w:tcBorders>
            <w:hideMark/>
          </w:tcPr>
          <w:p w14:paraId="0AAC39D8" w14:textId="77777777" w:rsidR="00195149" w:rsidRDefault="00195149" w:rsidP="001E2113">
            <w:pPr>
              <w:rPr>
                <w:sz w:val="20"/>
                <w:szCs w:val="20"/>
              </w:rPr>
            </w:pPr>
            <w:r>
              <w:rPr>
                <w:sz w:val="20"/>
                <w:szCs w:val="20"/>
              </w:rPr>
              <w:t>Maximum Return to Service Frequency:</w:t>
            </w:r>
          </w:p>
        </w:tc>
        <w:tc>
          <w:tcPr>
            <w:tcW w:w="2880" w:type="dxa"/>
            <w:tcBorders>
              <w:top w:val="single" w:sz="4" w:space="0" w:color="auto"/>
              <w:left w:val="single" w:sz="4" w:space="0" w:color="auto"/>
              <w:bottom w:val="single" w:sz="4" w:space="0" w:color="auto"/>
              <w:right w:val="single" w:sz="4" w:space="0" w:color="auto"/>
            </w:tcBorders>
            <w:hideMark/>
          </w:tcPr>
          <w:p w14:paraId="0C33CB38" w14:textId="77777777" w:rsidR="00195149" w:rsidRDefault="00195149" w:rsidP="001E2113">
            <w:pPr>
              <w:rPr>
                <w:sz w:val="20"/>
                <w:szCs w:val="20"/>
              </w:rPr>
            </w:pPr>
            <w:r>
              <w:rPr>
                <w:sz w:val="20"/>
                <w:szCs w:val="20"/>
              </w:rPr>
              <w:t>60.5 Hz</w:t>
            </w:r>
          </w:p>
        </w:tc>
      </w:tr>
      <w:tr w:rsidR="00195149" w14:paraId="6CB50C4C" w14:textId="77777777" w:rsidTr="001E2113">
        <w:trPr>
          <w:trHeight w:val="288"/>
          <w:jc w:val="center"/>
        </w:trPr>
        <w:tc>
          <w:tcPr>
            <w:tcW w:w="2448" w:type="dxa"/>
            <w:tcBorders>
              <w:top w:val="single" w:sz="4" w:space="0" w:color="auto"/>
              <w:left w:val="single" w:sz="12" w:space="0" w:color="auto"/>
              <w:bottom w:val="single" w:sz="4" w:space="0" w:color="auto"/>
              <w:right w:val="single" w:sz="4" w:space="0" w:color="auto"/>
            </w:tcBorders>
          </w:tcPr>
          <w:p w14:paraId="5A97FEA6" w14:textId="77777777" w:rsidR="00195149" w:rsidRPr="009172EE" w:rsidRDefault="00195149" w:rsidP="001E2113">
            <w:pPr>
              <w:rPr>
                <w:sz w:val="20"/>
                <w:szCs w:val="20"/>
              </w:rPr>
            </w:pPr>
            <w:r w:rsidRPr="009172EE">
              <w:rPr>
                <w:sz w:val="20"/>
                <w:szCs w:val="20"/>
              </w:rPr>
              <w:t>Default return to service Ramp time (Enter Service Period)</w:t>
            </w:r>
          </w:p>
        </w:tc>
        <w:tc>
          <w:tcPr>
            <w:tcW w:w="2880" w:type="dxa"/>
            <w:tcBorders>
              <w:top w:val="single" w:sz="4" w:space="0" w:color="auto"/>
              <w:left w:val="single" w:sz="4" w:space="0" w:color="auto"/>
              <w:bottom w:val="single" w:sz="4" w:space="0" w:color="auto"/>
              <w:right w:val="single" w:sz="4" w:space="0" w:color="auto"/>
            </w:tcBorders>
          </w:tcPr>
          <w:p w14:paraId="141109E3" w14:textId="77777777" w:rsidR="00195149" w:rsidRPr="009172EE" w:rsidRDefault="00195149" w:rsidP="001E2113">
            <w:pPr>
              <w:rPr>
                <w:sz w:val="20"/>
                <w:szCs w:val="20"/>
              </w:rPr>
            </w:pPr>
            <w:r w:rsidRPr="009172EE">
              <w:rPr>
                <w:sz w:val="20"/>
                <w:szCs w:val="20"/>
              </w:rPr>
              <w:t>300s</w:t>
            </w:r>
          </w:p>
        </w:tc>
      </w:tr>
    </w:tbl>
    <w:p w14:paraId="7D6E8A09" w14:textId="65F1379B" w:rsidR="004F05DB" w:rsidRDefault="004F05DB"/>
    <w:sectPr w:rsidR="004F05D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04023D" w14:textId="77777777" w:rsidR="00451542" w:rsidRDefault="00451542" w:rsidP="00D845AA">
      <w:r>
        <w:separator/>
      </w:r>
    </w:p>
  </w:endnote>
  <w:endnote w:type="continuationSeparator" w:id="0">
    <w:p w14:paraId="21FB4008" w14:textId="77777777" w:rsidR="00451542" w:rsidRDefault="00451542" w:rsidP="00D845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202DC5" w14:textId="77777777" w:rsidR="00451542" w:rsidRDefault="00451542" w:rsidP="00D845AA">
      <w:r>
        <w:separator/>
      </w:r>
    </w:p>
  </w:footnote>
  <w:footnote w:type="continuationSeparator" w:id="0">
    <w:p w14:paraId="6F034BDE" w14:textId="77777777" w:rsidR="00451542" w:rsidRDefault="00451542" w:rsidP="00D845AA">
      <w:r>
        <w:continuationSeparator/>
      </w:r>
    </w:p>
  </w:footnote>
  <w:footnote w:id="1">
    <w:p w14:paraId="66632A55" w14:textId="4B62E2D7" w:rsidR="00D845AA" w:rsidRDefault="00D845AA">
      <w:pPr>
        <w:pStyle w:val="FootnoteText"/>
      </w:pPr>
      <w:r>
        <w:rPr>
          <w:rStyle w:val="FootnoteReference"/>
        </w:rPr>
        <w:footnoteRef/>
      </w:r>
      <w:r>
        <w:t xml:space="preserve"> </w:t>
      </w:r>
      <w:r w:rsidR="005C437E" w:rsidRPr="005C437E">
        <w:rPr>
          <w:i/>
          <w:iCs/>
        </w:rPr>
        <w:t>For DER less than 50 kW, Voltage Reactive Power Mode (Volt/Var) set to OFF</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5149"/>
    <w:rsid w:val="000426FE"/>
    <w:rsid w:val="000D45CF"/>
    <w:rsid w:val="00133F67"/>
    <w:rsid w:val="00195149"/>
    <w:rsid w:val="00451542"/>
    <w:rsid w:val="004F05DB"/>
    <w:rsid w:val="00531591"/>
    <w:rsid w:val="005C437E"/>
    <w:rsid w:val="00685531"/>
    <w:rsid w:val="006C552C"/>
    <w:rsid w:val="007379D5"/>
    <w:rsid w:val="007501C8"/>
    <w:rsid w:val="009172EE"/>
    <w:rsid w:val="00A47230"/>
    <w:rsid w:val="00D845AA"/>
    <w:rsid w:val="00DC2AD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43A4A5"/>
  <w15:chartTrackingRefBased/>
  <w15:docId w15:val="{643D6277-5BA1-4EF3-8CF1-22458B673F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95149"/>
    <w:pPr>
      <w:spacing w:after="0" w:line="240" w:lineRule="auto"/>
    </w:pPr>
    <w:rPr>
      <w:rFonts w:ascii="Calibri" w:hAnsi="Calibri" w:cs="Calibri"/>
    </w:rPr>
  </w:style>
  <w:style w:type="paragraph" w:styleId="Heading3">
    <w:name w:val="heading 3"/>
    <w:basedOn w:val="Normal"/>
    <w:next w:val="Normal"/>
    <w:link w:val="Heading3Char"/>
    <w:qFormat/>
    <w:rsid w:val="00195149"/>
    <w:pPr>
      <w:keepNext/>
      <w:spacing w:before="240" w:after="60"/>
      <w:outlineLvl w:val="2"/>
    </w:pPr>
    <w:rPr>
      <w:rFonts w:ascii="Arial" w:eastAsia="Times New Roman"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195149"/>
    <w:rPr>
      <w:rFonts w:ascii="Arial" w:eastAsia="Times New Roman" w:hAnsi="Arial" w:cs="Arial"/>
      <w:b/>
      <w:bCs/>
      <w:sz w:val="26"/>
      <w:szCs w:val="26"/>
    </w:rPr>
  </w:style>
  <w:style w:type="paragraph" w:styleId="FootnoteText">
    <w:name w:val="footnote text"/>
    <w:basedOn w:val="Normal"/>
    <w:link w:val="FootnoteTextChar"/>
    <w:uiPriority w:val="99"/>
    <w:semiHidden/>
    <w:unhideWhenUsed/>
    <w:rsid w:val="00D845AA"/>
    <w:rPr>
      <w:sz w:val="20"/>
      <w:szCs w:val="20"/>
    </w:rPr>
  </w:style>
  <w:style w:type="character" w:customStyle="1" w:styleId="FootnoteTextChar">
    <w:name w:val="Footnote Text Char"/>
    <w:basedOn w:val="DefaultParagraphFont"/>
    <w:link w:val="FootnoteText"/>
    <w:uiPriority w:val="99"/>
    <w:semiHidden/>
    <w:rsid w:val="00D845AA"/>
    <w:rPr>
      <w:rFonts w:ascii="Calibri" w:hAnsi="Calibri" w:cs="Calibri"/>
      <w:sz w:val="20"/>
      <w:szCs w:val="20"/>
    </w:rPr>
  </w:style>
  <w:style w:type="character" w:styleId="FootnoteReference">
    <w:name w:val="footnote reference"/>
    <w:basedOn w:val="DefaultParagraphFont"/>
    <w:uiPriority w:val="99"/>
    <w:semiHidden/>
    <w:unhideWhenUsed/>
    <w:rsid w:val="00D845AA"/>
    <w:rPr>
      <w:vertAlign w:val="superscript"/>
    </w:rPr>
  </w:style>
  <w:style w:type="table" w:styleId="TableGrid">
    <w:name w:val="Table Grid"/>
    <w:basedOn w:val="TableNormal"/>
    <w:uiPriority w:val="59"/>
    <w:rsid w:val="00133F6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33F67"/>
    <w:pPr>
      <w:spacing w:after="200" w:line="276" w:lineRule="auto"/>
      <w:ind w:left="720"/>
      <w:contextualSpacing/>
    </w:pPr>
    <w:rPr>
      <w:rFonts w:asciiTheme="minorHAnsi" w:hAnsiTheme="minorHAnsi" w:cstheme="minorBidi"/>
    </w:rPr>
  </w:style>
  <w:style w:type="paragraph" w:customStyle="1" w:styleId="IEEEStdsTableColumnHead">
    <w:name w:val="IEEEStds Table Column Head"/>
    <w:basedOn w:val="Normal"/>
    <w:rsid w:val="00133F67"/>
    <w:pPr>
      <w:keepNext/>
      <w:keepLines/>
      <w:jc w:val="center"/>
    </w:pPr>
    <w:rPr>
      <w:rFonts w:ascii="Times New Roman" w:eastAsia="Times New Roman" w:hAnsi="Times New Roman" w:cs="Times New Roman"/>
      <w:b/>
      <w:sz w:val="18"/>
      <w:szCs w:val="20"/>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0866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506</Words>
  <Characters>2889</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Viscariello, Gabriele</dc:creator>
  <cp:keywords/>
  <dc:description/>
  <cp:lastModifiedBy>Philipp, Valeriia</cp:lastModifiedBy>
  <cp:revision>2</cp:revision>
  <dcterms:created xsi:type="dcterms:W3CDTF">2022-12-20T15:42:00Z</dcterms:created>
  <dcterms:modified xsi:type="dcterms:W3CDTF">2022-12-20T15:42:00Z</dcterms:modified>
</cp:coreProperties>
</file>